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20C21C19"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BF2692">
        <w:rPr>
          <w:rFonts w:cs="Arial"/>
          <w:b/>
          <w:sz w:val="24"/>
          <w:szCs w:val="24"/>
        </w:rPr>
        <w:t>4</w:t>
      </w:r>
      <w:r w:rsidR="00F25432">
        <w:rPr>
          <w:rFonts w:cs="Arial"/>
          <w:b/>
          <w:sz w:val="24"/>
          <w:szCs w:val="24"/>
        </w:rPr>
        <w:t>b</w:t>
      </w:r>
      <w:r w:rsidR="00281AEB">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w:t>
      </w:r>
      <w:r w:rsidR="00E86D3F">
        <w:rPr>
          <w:rFonts w:cs="Arial"/>
          <w:b/>
          <w:sz w:val="24"/>
          <w:szCs w:val="24"/>
        </w:rPr>
        <w:t>1</w:t>
      </w:r>
      <w:r w:rsidR="00540715">
        <w:rPr>
          <w:rFonts w:cs="Arial"/>
          <w:b/>
          <w:sz w:val="24"/>
          <w:szCs w:val="24"/>
        </w:rPr>
        <w:t>5637</w:t>
      </w:r>
    </w:p>
    <w:p w14:paraId="31DCE6A5" w14:textId="1247370D"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0D6729">
        <w:rPr>
          <w:rFonts w:cs="Arial"/>
          <w:b/>
          <w:sz w:val="24"/>
          <w:szCs w:val="24"/>
          <w:lang w:eastAsia="zh-CN"/>
        </w:rPr>
        <w:t>October</w:t>
      </w:r>
      <w:r w:rsidR="00281AEB" w:rsidRPr="004E2857">
        <w:rPr>
          <w:rFonts w:cs="Arial"/>
          <w:b/>
          <w:sz w:val="24"/>
          <w:szCs w:val="24"/>
          <w:lang w:eastAsia="zh-CN"/>
        </w:rPr>
        <w:t xml:space="preserve"> </w:t>
      </w:r>
      <w:r w:rsidR="00BF2692">
        <w:rPr>
          <w:rFonts w:cs="Arial"/>
          <w:b/>
          <w:sz w:val="24"/>
          <w:szCs w:val="24"/>
          <w:lang w:eastAsia="zh-CN"/>
        </w:rPr>
        <w:t>1</w:t>
      </w:r>
      <w:r w:rsidR="000D6729">
        <w:rPr>
          <w:rFonts w:cs="Arial"/>
          <w:b/>
          <w:sz w:val="24"/>
          <w:szCs w:val="24"/>
          <w:lang w:eastAsia="zh-CN"/>
        </w:rPr>
        <w:t>0</w:t>
      </w:r>
      <w:r w:rsidR="00170684">
        <w:rPr>
          <w:rFonts w:cs="Arial"/>
          <w:b/>
          <w:sz w:val="24"/>
          <w:szCs w:val="24"/>
          <w:lang w:eastAsia="zh-CN"/>
        </w:rPr>
        <w:t xml:space="preserve"> </w:t>
      </w:r>
      <w:r w:rsidR="00281AEB" w:rsidRPr="004E2857">
        <w:rPr>
          <w:rFonts w:cs="Arial"/>
          <w:b/>
          <w:sz w:val="24"/>
          <w:szCs w:val="24"/>
          <w:lang w:eastAsia="zh-CN"/>
        </w:rPr>
        <w:t>-</w:t>
      </w:r>
      <w:r w:rsidR="00A954A6">
        <w:rPr>
          <w:rFonts w:cs="Arial"/>
          <w:b/>
          <w:sz w:val="24"/>
          <w:szCs w:val="24"/>
          <w:lang w:eastAsia="zh-CN"/>
        </w:rPr>
        <w:t xml:space="preserve"> </w:t>
      </w:r>
      <w:r w:rsidR="000D6729">
        <w:rPr>
          <w:rFonts w:cs="Arial"/>
          <w:b/>
          <w:sz w:val="24"/>
          <w:szCs w:val="24"/>
          <w:lang w:eastAsia="zh-CN"/>
        </w:rPr>
        <w:t>19</w:t>
      </w:r>
      <w:r w:rsidR="00281AEB" w:rsidRPr="004E2857">
        <w:rPr>
          <w:rFonts w:cs="Arial"/>
          <w:b/>
          <w:sz w:val="24"/>
          <w:szCs w:val="24"/>
          <w:lang w:eastAsia="zh-CN"/>
        </w:rPr>
        <w:t>, 2022</w:t>
      </w:r>
    </w:p>
    <w:p w14:paraId="70A7F93A" w14:textId="40F76F2F" w:rsidR="007B1E88" w:rsidRDefault="00170684" w:rsidP="00BB40EC">
      <w:pPr>
        <w:tabs>
          <w:tab w:val="left" w:pos="1985"/>
        </w:tabs>
        <w:spacing w:after="0"/>
        <w:jc w:val="both"/>
        <w:rPr>
          <w:rFonts w:ascii="Arial" w:hAnsi="Arial" w:cs="Arial"/>
          <w:b/>
          <w:sz w:val="22"/>
        </w:rPr>
      </w:pPr>
      <w:r>
        <w:rPr>
          <w:rFonts w:ascii="Arial" w:hAnsi="Arial" w:cs="Arial"/>
          <w:b/>
          <w:sz w:val="22"/>
        </w:rPr>
        <w:t xml:space="preserve"> </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16A24595"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D52EA9" w:rsidRPr="00D52EA9">
        <w:rPr>
          <w:rFonts w:cs="Arial"/>
          <w:sz w:val="22"/>
        </w:rPr>
        <w:t>REFSENS and Blocking requirement for n105</w:t>
      </w:r>
    </w:p>
    <w:p w14:paraId="03C4DA88" w14:textId="56D806BE" w:rsidR="00BC38C0" w:rsidRDefault="00675C27" w:rsidP="00A20197">
      <w:pPr>
        <w:pStyle w:val="TAC"/>
        <w:ind w:left="1985" w:hanging="1985"/>
        <w:jc w:val="left"/>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D52EA9" w:rsidRPr="00D52EA9">
        <w:rPr>
          <w:rFonts w:cs="Arial"/>
          <w:sz w:val="22"/>
        </w:rPr>
        <w:t>5.27.2</w:t>
      </w:r>
      <w:r w:rsidR="00D52EA9">
        <w:rPr>
          <w:rFonts w:cs="Arial"/>
          <w:sz w:val="22"/>
        </w:rPr>
        <w:t xml:space="preserve"> </w:t>
      </w:r>
      <w:r w:rsidR="00D52EA9" w:rsidRPr="00D52EA9">
        <w:rPr>
          <w:rFonts w:cs="Arial"/>
          <w:sz w:val="22"/>
        </w:rPr>
        <w:t>Band parameters and UE RF requirements</w:t>
      </w:r>
      <w:r w:rsidR="00D52EA9">
        <w:rPr>
          <w:rFonts w:cs="Arial"/>
          <w:sz w:val="22"/>
        </w:rPr>
        <w:t xml:space="preserve"> </w:t>
      </w:r>
      <w:r w:rsidR="00D52EA9" w:rsidRPr="00D52EA9">
        <w:rPr>
          <w:rFonts w:cs="Arial"/>
          <w:sz w:val="22"/>
        </w:rPr>
        <w:t>[NR_600MHz_APT-Core]</w:t>
      </w:r>
    </w:p>
    <w:p w14:paraId="2E5C6AEA" w14:textId="02F81EDE"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Default="00E52C47" w:rsidP="00396BC2">
      <w:pPr>
        <w:pStyle w:val="Heading1"/>
        <w:tabs>
          <w:tab w:val="clear" w:pos="1152"/>
        </w:tabs>
        <w:ind w:left="450"/>
        <w:jc w:val="both"/>
        <w:rPr>
          <w:rFonts w:eastAsia="SimSun"/>
          <w:lang w:eastAsia="zh-CN"/>
        </w:rPr>
      </w:pPr>
      <w:r>
        <w:rPr>
          <w:rFonts w:eastAsia="SimSun" w:hint="eastAsia"/>
          <w:lang w:eastAsia="zh-CN"/>
        </w:rPr>
        <w:t>Introduction</w:t>
      </w:r>
    </w:p>
    <w:p w14:paraId="7267657C" w14:textId="7858F44D" w:rsidR="00842311" w:rsidRPr="00B734F1" w:rsidRDefault="007C2743" w:rsidP="00825624">
      <w:pPr>
        <w:overflowPunct/>
        <w:autoSpaceDE/>
        <w:autoSpaceDN/>
        <w:adjustRightInd/>
        <w:spacing w:after="0"/>
        <w:jc w:val="both"/>
        <w:textAlignment w:val="auto"/>
        <w:rPr>
          <w:rFonts w:eastAsia="SimSun"/>
          <w:lang w:eastAsia="zh-CN"/>
        </w:rPr>
      </w:pPr>
      <w:r>
        <w:rPr>
          <w:rFonts w:eastAsia="SimSun"/>
          <w:lang w:eastAsia="zh-CN"/>
        </w:rPr>
        <w:t>I</w:t>
      </w:r>
      <w:r w:rsidR="004247E2">
        <w:rPr>
          <w:rFonts w:eastAsia="SimSun"/>
          <w:lang w:eastAsia="zh-CN"/>
        </w:rPr>
        <w:t>n</w:t>
      </w:r>
      <w:r w:rsidR="008B5046">
        <w:rPr>
          <w:rFonts w:eastAsia="SimSun"/>
          <w:lang w:eastAsia="zh-CN"/>
        </w:rPr>
        <w:t xml:space="preserve"> </w:t>
      </w:r>
      <w:r w:rsidR="00FB5B38">
        <w:rPr>
          <w:rFonts w:eastAsia="SimSun"/>
          <w:lang w:eastAsia="zh-CN"/>
        </w:rPr>
        <w:t xml:space="preserve">RAN4#104e, </w:t>
      </w:r>
      <w:r w:rsidR="00293BD2">
        <w:rPr>
          <w:rFonts w:eastAsia="SimSun"/>
          <w:lang w:eastAsia="zh-CN"/>
        </w:rPr>
        <w:t>several</w:t>
      </w:r>
      <w:r w:rsidR="009D27F9">
        <w:rPr>
          <w:rFonts w:eastAsia="SimSun"/>
          <w:lang w:eastAsia="zh-CN"/>
        </w:rPr>
        <w:t xml:space="preserve"> </w:t>
      </w:r>
      <w:r w:rsidR="003920AB">
        <w:rPr>
          <w:rFonts w:eastAsia="SimSun"/>
          <w:lang w:eastAsia="zh-CN"/>
        </w:rPr>
        <w:t>contributions</w:t>
      </w:r>
      <w:r w:rsidR="009D27F9">
        <w:rPr>
          <w:rFonts w:eastAsia="SimSun"/>
          <w:lang w:eastAsia="zh-CN"/>
        </w:rPr>
        <w:t xml:space="preserve"> addressed the </w:t>
      </w:r>
      <w:r w:rsidR="00EB341F">
        <w:rPr>
          <w:rFonts w:eastAsia="SimSun"/>
          <w:lang w:eastAsia="zh-CN"/>
        </w:rPr>
        <w:t>band n105 UE requirements [2-6] and notably the REFSENS and blocking receive</w:t>
      </w:r>
      <w:r w:rsidR="00293BD2">
        <w:rPr>
          <w:rFonts w:eastAsia="SimSun"/>
          <w:lang w:eastAsia="zh-CN"/>
        </w:rPr>
        <w:t>r</w:t>
      </w:r>
      <w:r w:rsidR="00EB341F">
        <w:rPr>
          <w:rFonts w:eastAsia="SimSun"/>
          <w:lang w:eastAsia="zh-CN"/>
        </w:rPr>
        <w:t xml:space="preserve"> specifications.</w:t>
      </w:r>
      <w:r w:rsidR="00FB5B38">
        <w:rPr>
          <w:rFonts w:eastAsia="SimSun"/>
          <w:lang w:eastAsia="zh-CN"/>
        </w:rPr>
        <w:t xml:space="preserve"> </w:t>
      </w:r>
      <w:r w:rsidR="003920AB">
        <w:rPr>
          <w:rFonts w:eastAsia="SimSun"/>
          <w:lang w:eastAsia="zh-CN"/>
        </w:rPr>
        <w:t>Several</w:t>
      </w:r>
      <w:r w:rsidR="00EB341F">
        <w:rPr>
          <w:rFonts w:eastAsia="SimSun"/>
          <w:lang w:eastAsia="zh-CN"/>
        </w:rPr>
        <w:t xml:space="preserve"> agreements and options were captured in </w:t>
      </w:r>
      <w:r w:rsidR="00293BD2">
        <w:rPr>
          <w:rFonts w:eastAsia="SimSun"/>
          <w:lang w:eastAsia="zh-CN"/>
        </w:rPr>
        <w:t xml:space="preserve">the </w:t>
      </w:r>
      <w:r w:rsidR="00EB341F">
        <w:rPr>
          <w:rFonts w:eastAsia="SimSun"/>
          <w:lang w:eastAsia="zh-CN"/>
        </w:rPr>
        <w:t>way forward</w:t>
      </w:r>
      <w:r w:rsidR="00FB5B38">
        <w:rPr>
          <w:rFonts w:eastAsia="SimSun"/>
          <w:lang w:eastAsia="zh-CN"/>
        </w:rPr>
        <w:t xml:space="preserve"> [</w:t>
      </w:r>
      <w:r w:rsidR="00EB341F">
        <w:rPr>
          <w:rFonts w:eastAsia="SimSun"/>
          <w:lang w:eastAsia="zh-CN"/>
        </w:rPr>
        <w:t>1</w:t>
      </w:r>
      <w:r w:rsidR="00FB5B38">
        <w:rPr>
          <w:rFonts w:eastAsia="SimSun"/>
          <w:lang w:eastAsia="zh-CN"/>
        </w:rPr>
        <w:t>]</w:t>
      </w:r>
      <w:r w:rsidR="00EB341F">
        <w:rPr>
          <w:rFonts w:eastAsia="SimSun"/>
          <w:lang w:eastAsia="zh-CN"/>
        </w:rPr>
        <w:t xml:space="preserve"> </w:t>
      </w:r>
      <w:r w:rsidR="00293BD2">
        <w:rPr>
          <w:rFonts w:eastAsia="SimSun"/>
          <w:lang w:eastAsia="zh-CN"/>
        </w:rPr>
        <w:t>on</w:t>
      </w:r>
      <w:r w:rsidR="00EB341F">
        <w:rPr>
          <w:rFonts w:eastAsia="SimSun"/>
          <w:lang w:eastAsia="zh-CN"/>
        </w:rPr>
        <w:t xml:space="preserve"> REFSENS and </w:t>
      </w:r>
      <w:r w:rsidR="003920AB">
        <w:rPr>
          <w:rFonts w:eastAsia="SimSun"/>
          <w:lang w:eastAsia="zh-CN"/>
        </w:rPr>
        <w:t>a specific blocking requirement to account for DTT interference</w:t>
      </w:r>
      <w:r w:rsidR="005A153F">
        <w:rPr>
          <w:rFonts w:eastAsia="SimSun"/>
          <w:lang w:eastAsia="zh-CN"/>
        </w:rPr>
        <w:t>.</w:t>
      </w:r>
      <w:r w:rsidR="00FB5B38">
        <w:rPr>
          <w:rFonts w:eastAsia="SimSun"/>
          <w:lang w:eastAsia="zh-CN"/>
        </w:rPr>
        <w:t xml:space="preserve"> </w:t>
      </w:r>
      <w:r w:rsidR="00B8490C">
        <w:rPr>
          <w:rFonts w:eastAsia="SimSun"/>
          <w:lang w:eastAsia="zh-CN"/>
        </w:rPr>
        <w:t>In this contribution</w:t>
      </w:r>
      <w:r w:rsidR="005A153F">
        <w:rPr>
          <w:rFonts w:eastAsia="SimSun"/>
          <w:lang w:eastAsia="zh-CN"/>
        </w:rPr>
        <w:t>,</w:t>
      </w:r>
      <w:r w:rsidR="00B8490C">
        <w:rPr>
          <w:rFonts w:eastAsia="SimSun"/>
          <w:lang w:eastAsia="zh-CN"/>
        </w:rPr>
        <w:t xml:space="preserve"> we </w:t>
      </w:r>
      <w:r w:rsidR="003920AB">
        <w:rPr>
          <w:rFonts w:eastAsia="SimSun"/>
          <w:lang w:eastAsia="zh-CN"/>
        </w:rPr>
        <w:t>further elaborate on REFSENS and blocking by studying DTT blocker aspect in Asia and the U</w:t>
      </w:r>
      <w:r w:rsidR="00293BD2">
        <w:rPr>
          <w:rFonts w:eastAsia="SimSun"/>
          <w:lang w:eastAsia="zh-CN"/>
        </w:rPr>
        <w:t>.</w:t>
      </w:r>
      <w:r w:rsidR="003920AB">
        <w:rPr>
          <w:rFonts w:eastAsia="SimSun"/>
          <w:lang w:eastAsia="zh-CN"/>
        </w:rPr>
        <w:t>S</w:t>
      </w:r>
      <w:r w:rsidR="00293BD2">
        <w:rPr>
          <w:rFonts w:eastAsia="SimSun"/>
          <w:lang w:eastAsia="zh-CN"/>
        </w:rPr>
        <w:t>.</w:t>
      </w:r>
      <w:r w:rsidR="003920AB">
        <w:rPr>
          <w:rFonts w:eastAsia="SimSun"/>
          <w:lang w:eastAsia="zh-CN"/>
        </w:rPr>
        <w:t>, correcting UL interference for lower overlap than n71 and addressing options to enable n105 and n71 co-banding</w:t>
      </w:r>
      <w:r w:rsidR="00B8490C">
        <w:rPr>
          <w:rFonts w:eastAsia="SimSun"/>
          <w:lang w:eastAsia="zh-CN"/>
        </w:rPr>
        <w:t>.</w:t>
      </w:r>
    </w:p>
    <w:p w14:paraId="58FA5DD0" w14:textId="29289E3F" w:rsidR="00530C06" w:rsidRDefault="00853ECB" w:rsidP="00396BC2">
      <w:pPr>
        <w:pStyle w:val="Heading1"/>
        <w:tabs>
          <w:tab w:val="clear" w:pos="1152"/>
        </w:tabs>
        <w:ind w:left="450"/>
        <w:jc w:val="both"/>
        <w:rPr>
          <w:rFonts w:eastAsia="SimSun"/>
          <w:lang w:eastAsia="zh-CN"/>
        </w:rPr>
      </w:pPr>
      <w:r>
        <w:rPr>
          <w:rFonts w:eastAsia="SimSun" w:hint="eastAsia"/>
          <w:lang w:eastAsia="zh-CN"/>
        </w:rPr>
        <w:t>Discussion</w:t>
      </w:r>
    </w:p>
    <w:p w14:paraId="164B9A06" w14:textId="461D4842" w:rsidR="00BA7292" w:rsidRDefault="004B655F" w:rsidP="00BA7292">
      <w:pPr>
        <w:pStyle w:val="Heading2"/>
        <w:spacing w:after="240"/>
        <w:rPr>
          <w:lang w:eastAsia="zh-CN"/>
        </w:rPr>
      </w:pPr>
      <w:r>
        <w:rPr>
          <w:lang w:eastAsia="zh-CN"/>
        </w:rPr>
        <w:t xml:space="preserve">Deriving REFSENS </w:t>
      </w:r>
      <w:r w:rsidR="00494D5C">
        <w:rPr>
          <w:lang w:eastAsia="zh-CN"/>
        </w:rPr>
        <w:t xml:space="preserve">degradation due to UL noise </w:t>
      </w:r>
      <w:r>
        <w:rPr>
          <w:lang w:eastAsia="zh-CN"/>
        </w:rPr>
        <w:t>for n105</w:t>
      </w:r>
    </w:p>
    <w:p w14:paraId="33B10AF9" w14:textId="41154837" w:rsidR="00963D79" w:rsidRDefault="00963D79" w:rsidP="00963D79">
      <w:pPr>
        <w:rPr>
          <w:lang w:val="en-GB" w:eastAsia="zh-CN"/>
        </w:rPr>
      </w:pPr>
      <w:r>
        <w:rPr>
          <w:lang w:val="en-GB" w:eastAsia="zh-CN"/>
        </w:rPr>
        <w:t>In [1], with the following part of the REFSENS way forward, larger channel bandwidths REFSENS needs to be re-assessed for n105 versus band n71 as the 5MHz increased duplex distance reduces the UL IMD overlap with the Dl channels.</w:t>
      </w:r>
    </w:p>
    <w:p w14:paraId="29FEBBF7" w14:textId="77777777" w:rsidR="00963D79" w:rsidRPr="00B96CF1" w:rsidRDefault="00963D79" w:rsidP="00963D79">
      <w:pPr>
        <w:spacing w:after="0"/>
        <w:rPr>
          <w:bCs/>
          <w:i/>
          <w:iCs/>
          <w:lang w:eastAsia="zh-CN"/>
        </w:rPr>
      </w:pPr>
      <w:r w:rsidRPr="00B96CF1">
        <w:rPr>
          <w:bCs/>
          <w:i/>
          <w:iCs/>
          <w:lang w:eastAsia="zh-CN"/>
        </w:rPr>
        <w:t>“Way forward</w:t>
      </w:r>
    </w:p>
    <w:p w14:paraId="5A21C2CF" w14:textId="3D132D91" w:rsidR="00963D79" w:rsidRPr="00963D79" w:rsidRDefault="00963D79" w:rsidP="00963D79">
      <w:pPr>
        <w:pStyle w:val="ListParagraph"/>
        <w:numPr>
          <w:ilvl w:val="0"/>
          <w:numId w:val="35"/>
        </w:numPr>
        <w:spacing w:after="0"/>
        <w:rPr>
          <w:bCs/>
          <w:i/>
          <w:iCs/>
          <w:lang w:eastAsia="zh-CN"/>
        </w:rPr>
      </w:pPr>
      <w:r w:rsidRPr="00963D79">
        <w:rPr>
          <w:bCs/>
          <w:i/>
          <w:iCs/>
          <w:lang w:eastAsia="zh-CN"/>
        </w:rPr>
        <w:t>Improvement of REFSENS for channels &gt;15MHz versus n71 is studied for next meeting”</w:t>
      </w:r>
    </w:p>
    <w:p w14:paraId="6C69D8DA" w14:textId="23C7E99F" w:rsidR="00963D79" w:rsidRDefault="00963D79" w:rsidP="00963D79">
      <w:pPr>
        <w:spacing w:after="0"/>
        <w:rPr>
          <w:lang w:eastAsia="zh-CN"/>
        </w:rPr>
      </w:pPr>
    </w:p>
    <w:p w14:paraId="1DC57827" w14:textId="77777777" w:rsidR="00293BD2" w:rsidRDefault="00963D79" w:rsidP="00963D79">
      <w:pPr>
        <w:rPr>
          <w:lang w:eastAsia="zh-CN"/>
        </w:rPr>
      </w:pPr>
      <w:r>
        <w:rPr>
          <w:lang w:eastAsia="zh-CN"/>
        </w:rPr>
        <w:t>In the same way forward</w:t>
      </w:r>
      <w:r w:rsidR="00CC30DB">
        <w:rPr>
          <w:lang w:eastAsia="zh-CN"/>
        </w:rPr>
        <w:t xml:space="preserve"> [1]</w:t>
      </w:r>
      <w:r>
        <w:rPr>
          <w:lang w:eastAsia="zh-CN"/>
        </w:rPr>
        <w:t>, a table was provided as background information</w:t>
      </w:r>
      <w:r w:rsidR="00CC30DB">
        <w:rPr>
          <w:lang w:eastAsia="zh-CN"/>
        </w:rPr>
        <w:t xml:space="preserve"> on </w:t>
      </w:r>
      <w:r w:rsidR="001416E0">
        <w:rPr>
          <w:lang w:eastAsia="zh-CN"/>
        </w:rPr>
        <w:t xml:space="preserve">how </w:t>
      </w:r>
      <w:r w:rsidR="00CC30DB">
        <w:rPr>
          <w:lang w:eastAsia="zh-CN"/>
        </w:rPr>
        <w:t xml:space="preserve">the IMD </w:t>
      </w:r>
      <w:r w:rsidR="001416E0">
        <w:rPr>
          <w:lang w:eastAsia="zh-CN"/>
        </w:rPr>
        <w:t xml:space="preserve">products from the UL RB configuration and its image </w:t>
      </w:r>
      <w:r w:rsidR="00CC30DB">
        <w:rPr>
          <w:lang w:eastAsia="zh-CN"/>
        </w:rPr>
        <w:t xml:space="preserve">overlap </w:t>
      </w:r>
      <w:r w:rsidR="001416E0">
        <w:rPr>
          <w:lang w:eastAsia="zh-CN"/>
        </w:rPr>
        <w:t xml:space="preserve">with DL channels </w:t>
      </w:r>
      <w:r w:rsidR="00CC30DB">
        <w:rPr>
          <w:lang w:eastAsia="zh-CN"/>
        </w:rPr>
        <w:t>differen</w:t>
      </w:r>
      <w:r w:rsidR="001416E0">
        <w:rPr>
          <w:lang w:eastAsia="zh-CN"/>
        </w:rPr>
        <w:t>tly</w:t>
      </w:r>
      <w:r w:rsidR="00CC30DB">
        <w:rPr>
          <w:lang w:eastAsia="zh-CN"/>
        </w:rPr>
        <w:t xml:space="preserve"> </w:t>
      </w:r>
      <w:r w:rsidR="001416E0">
        <w:rPr>
          <w:lang w:eastAsia="zh-CN"/>
        </w:rPr>
        <w:t xml:space="preserve">for </w:t>
      </w:r>
      <w:r w:rsidR="00CC30DB">
        <w:rPr>
          <w:lang w:eastAsia="zh-CN"/>
        </w:rPr>
        <w:t xml:space="preserve">n71 and n105 for the different channel bandwidths. </w:t>
      </w:r>
    </w:p>
    <w:p w14:paraId="726EAC3A" w14:textId="63825A7F" w:rsidR="00CC30DB" w:rsidRPr="00963D79" w:rsidRDefault="00293BD2" w:rsidP="00963D79">
      <w:pPr>
        <w:rPr>
          <w:lang w:eastAsia="zh-CN"/>
        </w:rPr>
      </w:pPr>
      <w:r>
        <w:t>While the</w:t>
      </w:r>
      <w:r w:rsidRPr="000E2BCC">
        <w:t xml:space="preserve"> more important cases for bandwidths above 15MHz had the NRB parameters properly set,</w:t>
      </w:r>
      <w:r>
        <w:t xml:space="preserve"> </w:t>
      </w:r>
      <w:r w:rsidRPr="000E2BCC">
        <w:t xml:space="preserve">unfortunately </w:t>
      </w:r>
      <w:r>
        <w:t xml:space="preserve">due to the time pressure of the meeting, </w:t>
      </w:r>
      <w:r w:rsidRPr="000E2BCC">
        <w:t>the lower channel frequencies</w:t>
      </w:r>
      <w:r>
        <w:t xml:space="preserve"> NRB was incorrectly captured in the table leading to errors in the IMD position</w:t>
      </w:r>
      <w:r w:rsidRPr="000E2BCC">
        <w:t>.</w:t>
      </w:r>
      <w:r>
        <w:t xml:space="preserve"> </w:t>
      </w:r>
      <w:r w:rsidR="00CC30DB">
        <w:rPr>
          <w:lang w:eastAsia="zh-CN"/>
        </w:rPr>
        <w:t>The only noticeable difference is that the 15MHz channel bandwidth is subject from partial overlap with IMD7 for both n71 and n105. The overlap is such that the main lobe around the IMD center is outside the DL channel thus limited interference is expected.</w:t>
      </w:r>
      <w:r w:rsidR="001416E0">
        <w:rPr>
          <w:lang w:eastAsia="zh-CN"/>
        </w:rPr>
        <w:t xml:space="preserve"> </w:t>
      </w:r>
      <w:r w:rsidR="00CC30DB">
        <w:rPr>
          <w:lang w:eastAsia="zh-CN"/>
        </w:rPr>
        <w:t>Nevertheless, that small IMD 7 overlap explains why the n71 15MHz REFSENS is 0.6dB higher than the scaled ideal REFSENS as shown in Table 2 later in this paragraph or was already shown in [6].</w:t>
      </w:r>
    </w:p>
    <w:p w14:paraId="40481D4F" w14:textId="5EC60E5B" w:rsidR="00931048" w:rsidRDefault="00931048" w:rsidP="00494D5C">
      <w:pPr>
        <w:pStyle w:val="Caption"/>
        <w:keepNext/>
        <w:jc w:val="center"/>
      </w:pPr>
      <w:r>
        <w:t xml:space="preserve">Table </w:t>
      </w:r>
      <w:r w:rsidR="0083541E">
        <w:fldChar w:fldCharType="begin"/>
      </w:r>
      <w:r w:rsidR="0083541E">
        <w:instrText xml:space="preserve"> SEQ Table \* ARABIC </w:instrText>
      </w:r>
      <w:r w:rsidR="0083541E">
        <w:fldChar w:fldCharType="separate"/>
      </w:r>
      <w:r>
        <w:rPr>
          <w:noProof/>
        </w:rPr>
        <w:t>1</w:t>
      </w:r>
      <w:r w:rsidR="0083541E">
        <w:rPr>
          <w:noProof/>
        </w:rPr>
        <w:fldChar w:fldCharType="end"/>
      </w:r>
      <w:r w:rsidR="00494D5C">
        <w:t>: worst case IMD overlap for n71 and n105</w:t>
      </w:r>
    </w:p>
    <w:tbl>
      <w:tblPr>
        <w:tblW w:w="7444" w:type="dxa"/>
        <w:jc w:val="center"/>
        <w:tblLook w:val="04A0" w:firstRow="1" w:lastRow="0" w:firstColumn="1" w:lastColumn="0" w:noHBand="0" w:noVBand="1"/>
      </w:tblPr>
      <w:tblGrid>
        <w:gridCol w:w="1198"/>
        <w:gridCol w:w="666"/>
        <w:gridCol w:w="554"/>
        <w:gridCol w:w="718"/>
        <w:gridCol w:w="718"/>
        <w:gridCol w:w="718"/>
        <w:gridCol w:w="718"/>
        <w:gridCol w:w="718"/>
        <w:gridCol w:w="718"/>
        <w:gridCol w:w="718"/>
      </w:tblGrid>
      <w:tr w:rsidR="004B655F" w:rsidRPr="004B655F" w14:paraId="16DBE439" w14:textId="77777777" w:rsidTr="00B96CF1">
        <w:trPr>
          <w:trHeight w:val="53"/>
          <w:jc w:val="center"/>
        </w:trPr>
        <w:tc>
          <w:tcPr>
            <w:tcW w:w="119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929FB7A"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DL Channel configuration</w:t>
            </w:r>
          </w:p>
        </w:tc>
        <w:tc>
          <w:tcPr>
            <w:tcW w:w="666" w:type="dxa"/>
            <w:tcBorders>
              <w:top w:val="single" w:sz="4" w:space="0" w:color="auto"/>
              <w:left w:val="nil"/>
              <w:bottom w:val="single" w:sz="4" w:space="0" w:color="auto"/>
              <w:right w:val="single" w:sz="4" w:space="0" w:color="auto"/>
            </w:tcBorders>
            <w:shd w:val="clear" w:color="auto" w:fill="auto"/>
            <w:noWrap/>
            <w:vAlign w:val="bottom"/>
            <w:hideMark/>
          </w:tcPr>
          <w:p w14:paraId="1AA13A3C"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CBW</w:t>
            </w:r>
          </w:p>
        </w:tc>
        <w:tc>
          <w:tcPr>
            <w:tcW w:w="554" w:type="dxa"/>
            <w:tcBorders>
              <w:top w:val="single" w:sz="4" w:space="0" w:color="auto"/>
              <w:left w:val="nil"/>
              <w:bottom w:val="single" w:sz="4" w:space="0" w:color="auto"/>
              <w:right w:val="single" w:sz="4" w:space="0" w:color="auto"/>
            </w:tcBorders>
            <w:shd w:val="clear" w:color="auto" w:fill="auto"/>
            <w:noWrap/>
            <w:vAlign w:val="bottom"/>
            <w:hideMark/>
          </w:tcPr>
          <w:p w14:paraId="3643CB24"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MHz</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61D4F885"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5</w:t>
            </w:r>
          </w:p>
        </w:tc>
        <w:tc>
          <w:tcPr>
            <w:tcW w:w="718" w:type="dxa"/>
            <w:tcBorders>
              <w:top w:val="single" w:sz="4" w:space="0" w:color="auto"/>
              <w:left w:val="nil"/>
              <w:bottom w:val="single" w:sz="4" w:space="0" w:color="auto"/>
              <w:right w:val="single" w:sz="4" w:space="0" w:color="auto"/>
            </w:tcBorders>
            <w:shd w:val="clear" w:color="auto" w:fill="auto"/>
            <w:noWrap/>
            <w:vAlign w:val="center"/>
            <w:hideMark/>
          </w:tcPr>
          <w:p w14:paraId="424EFB5B"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10</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6B0DA141"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15</w:t>
            </w:r>
          </w:p>
        </w:tc>
        <w:tc>
          <w:tcPr>
            <w:tcW w:w="718" w:type="dxa"/>
            <w:tcBorders>
              <w:top w:val="single" w:sz="4" w:space="0" w:color="auto"/>
              <w:left w:val="nil"/>
              <w:bottom w:val="single" w:sz="4" w:space="0" w:color="auto"/>
              <w:right w:val="single" w:sz="4" w:space="0" w:color="auto"/>
            </w:tcBorders>
            <w:shd w:val="clear" w:color="auto" w:fill="auto"/>
            <w:noWrap/>
            <w:vAlign w:val="center"/>
            <w:hideMark/>
          </w:tcPr>
          <w:p w14:paraId="04F03A98"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20</w:t>
            </w:r>
          </w:p>
        </w:tc>
        <w:tc>
          <w:tcPr>
            <w:tcW w:w="718" w:type="dxa"/>
            <w:tcBorders>
              <w:top w:val="single" w:sz="4" w:space="0" w:color="auto"/>
              <w:left w:val="nil"/>
              <w:bottom w:val="single" w:sz="4" w:space="0" w:color="auto"/>
              <w:right w:val="single" w:sz="4" w:space="0" w:color="auto"/>
            </w:tcBorders>
            <w:shd w:val="clear" w:color="auto" w:fill="auto"/>
            <w:noWrap/>
            <w:vAlign w:val="center"/>
            <w:hideMark/>
          </w:tcPr>
          <w:p w14:paraId="0F0495FD"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25</w:t>
            </w:r>
          </w:p>
        </w:tc>
        <w:tc>
          <w:tcPr>
            <w:tcW w:w="718" w:type="dxa"/>
            <w:tcBorders>
              <w:top w:val="single" w:sz="4" w:space="0" w:color="auto"/>
              <w:left w:val="nil"/>
              <w:bottom w:val="single" w:sz="4" w:space="0" w:color="auto"/>
              <w:right w:val="single" w:sz="4" w:space="0" w:color="auto"/>
            </w:tcBorders>
            <w:shd w:val="clear" w:color="auto" w:fill="auto"/>
            <w:noWrap/>
            <w:vAlign w:val="center"/>
            <w:hideMark/>
          </w:tcPr>
          <w:p w14:paraId="3DFACA4D"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30</w:t>
            </w:r>
          </w:p>
        </w:tc>
        <w:tc>
          <w:tcPr>
            <w:tcW w:w="718" w:type="dxa"/>
            <w:tcBorders>
              <w:top w:val="single" w:sz="4" w:space="0" w:color="auto"/>
              <w:left w:val="nil"/>
              <w:bottom w:val="single" w:sz="4" w:space="0" w:color="auto"/>
              <w:right w:val="single" w:sz="4" w:space="0" w:color="auto"/>
            </w:tcBorders>
            <w:shd w:val="clear" w:color="auto" w:fill="auto"/>
            <w:noWrap/>
            <w:vAlign w:val="center"/>
            <w:hideMark/>
          </w:tcPr>
          <w:p w14:paraId="592FB913"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35</w:t>
            </w:r>
          </w:p>
        </w:tc>
      </w:tr>
      <w:tr w:rsidR="004B655F" w:rsidRPr="004B655F" w14:paraId="073D8A2B" w14:textId="77777777" w:rsidTr="00B96CF1">
        <w:trPr>
          <w:trHeight w:val="53"/>
          <w:jc w:val="center"/>
        </w:trPr>
        <w:tc>
          <w:tcPr>
            <w:tcW w:w="1198" w:type="dxa"/>
            <w:vMerge/>
            <w:tcBorders>
              <w:top w:val="single" w:sz="4" w:space="0" w:color="auto"/>
              <w:left w:val="single" w:sz="4" w:space="0" w:color="auto"/>
              <w:bottom w:val="single" w:sz="4" w:space="0" w:color="auto"/>
              <w:right w:val="single" w:sz="4" w:space="0" w:color="auto"/>
            </w:tcBorders>
            <w:vAlign w:val="center"/>
            <w:hideMark/>
          </w:tcPr>
          <w:p w14:paraId="0CCF1BC7"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p>
        </w:tc>
        <w:tc>
          <w:tcPr>
            <w:tcW w:w="666" w:type="dxa"/>
            <w:tcBorders>
              <w:top w:val="nil"/>
              <w:left w:val="nil"/>
              <w:bottom w:val="single" w:sz="4" w:space="0" w:color="auto"/>
              <w:right w:val="single" w:sz="4" w:space="0" w:color="auto"/>
            </w:tcBorders>
            <w:shd w:val="clear" w:color="auto" w:fill="auto"/>
            <w:noWrap/>
            <w:vAlign w:val="bottom"/>
            <w:hideMark/>
          </w:tcPr>
          <w:p w14:paraId="00695632"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NRB</w:t>
            </w:r>
          </w:p>
        </w:tc>
        <w:tc>
          <w:tcPr>
            <w:tcW w:w="554" w:type="dxa"/>
            <w:tcBorders>
              <w:top w:val="nil"/>
              <w:left w:val="nil"/>
              <w:bottom w:val="single" w:sz="4" w:space="0" w:color="auto"/>
              <w:right w:val="single" w:sz="4" w:space="0" w:color="auto"/>
            </w:tcBorders>
            <w:shd w:val="clear" w:color="auto" w:fill="auto"/>
            <w:noWrap/>
            <w:vAlign w:val="bottom"/>
            <w:hideMark/>
          </w:tcPr>
          <w:p w14:paraId="641C78C7"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w:t>
            </w:r>
          </w:p>
        </w:tc>
        <w:tc>
          <w:tcPr>
            <w:tcW w:w="718" w:type="dxa"/>
            <w:tcBorders>
              <w:top w:val="nil"/>
              <w:left w:val="nil"/>
              <w:bottom w:val="single" w:sz="4" w:space="0" w:color="auto"/>
              <w:right w:val="single" w:sz="4" w:space="0" w:color="auto"/>
            </w:tcBorders>
            <w:shd w:val="clear" w:color="auto" w:fill="auto"/>
            <w:noWrap/>
            <w:vAlign w:val="bottom"/>
            <w:hideMark/>
          </w:tcPr>
          <w:p w14:paraId="3352687A"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25</w:t>
            </w:r>
          </w:p>
        </w:tc>
        <w:tc>
          <w:tcPr>
            <w:tcW w:w="718" w:type="dxa"/>
            <w:tcBorders>
              <w:top w:val="nil"/>
              <w:left w:val="nil"/>
              <w:bottom w:val="single" w:sz="4" w:space="0" w:color="auto"/>
              <w:right w:val="single" w:sz="4" w:space="0" w:color="auto"/>
            </w:tcBorders>
            <w:shd w:val="clear" w:color="auto" w:fill="auto"/>
            <w:noWrap/>
            <w:vAlign w:val="bottom"/>
            <w:hideMark/>
          </w:tcPr>
          <w:p w14:paraId="7B7ECDAF"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52</w:t>
            </w:r>
          </w:p>
        </w:tc>
        <w:tc>
          <w:tcPr>
            <w:tcW w:w="718" w:type="dxa"/>
            <w:tcBorders>
              <w:top w:val="nil"/>
              <w:left w:val="nil"/>
              <w:bottom w:val="single" w:sz="4" w:space="0" w:color="auto"/>
              <w:right w:val="single" w:sz="4" w:space="0" w:color="auto"/>
            </w:tcBorders>
            <w:shd w:val="clear" w:color="auto" w:fill="auto"/>
            <w:noWrap/>
            <w:vAlign w:val="bottom"/>
            <w:hideMark/>
          </w:tcPr>
          <w:p w14:paraId="4AA5A9B6"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79</w:t>
            </w:r>
          </w:p>
        </w:tc>
        <w:tc>
          <w:tcPr>
            <w:tcW w:w="718" w:type="dxa"/>
            <w:tcBorders>
              <w:top w:val="nil"/>
              <w:left w:val="nil"/>
              <w:bottom w:val="single" w:sz="4" w:space="0" w:color="auto"/>
              <w:right w:val="single" w:sz="4" w:space="0" w:color="auto"/>
            </w:tcBorders>
            <w:shd w:val="clear" w:color="auto" w:fill="auto"/>
            <w:vAlign w:val="center"/>
            <w:hideMark/>
          </w:tcPr>
          <w:p w14:paraId="506C7DC3"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106</w:t>
            </w:r>
          </w:p>
        </w:tc>
        <w:tc>
          <w:tcPr>
            <w:tcW w:w="718" w:type="dxa"/>
            <w:tcBorders>
              <w:top w:val="nil"/>
              <w:left w:val="nil"/>
              <w:bottom w:val="single" w:sz="4" w:space="0" w:color="auto"/>
              <w:right w:val="single" w:sz="4" w:space="0" w:color="auto"/>
            </w:tcBorders>
            <w:shd w:val="clear" w:color="auto" w:fill="auto"/>
            <w:vAlign w:val="center"/>
            <w:hideMark/>
          </w:tcPr>
          <w:p w14:paraId="6D218917"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133</w:t>
            </w:r>
          </w:p>
        </w:tc>
        <w:tc>
          <w:tcPr>
            <w:tcW w:w="718" w:type="dxa"/>
            <w:tcBorders>
              <w:top w:val="nil"/>
              <w:left w:val="nil"/>
              <w:bottom w:val="single" w:sz="4" w:space="0" w:color="auto"/>
              <w:right w:val="single" w:sz="4" w:space="0" w:color="auto"/>
            </w:tcBorders>
            <w:shd w:val="clear" w:color="auto" w:fill="auto"/>
            <w:vAlign w:val="center"/>
            <w:hideMark/>
          </w:tcPr>
          <w:p w14:paraId="3A951CBC"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160</w:t>
            </w:r>
          </w:p>
        </w:tc>
        <w:tc>
          <w:tcPr>
            <w:tcW w:w="718" w:type="dxa"/>
            <w:tcBorders>
              <w:top w:val="nil"/>
              <w:left w:val="nil"/>
              <w:bottom w:val="single" w:sz="4" w:space="0" w:color="auto"/>
              <w:right w:val="single" w:sz="4" w:space="0" w:color="auto"/>
            </w:tcBorders>
            <w:shd w:val="clear" w:color="auto" w:fill="auto"/>
            <w:vAlign w:val="center"/>
            <w:hideMark/>
          </w:tcPr>
          <w:p w14:paraId="057C2900"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188</w:t>
            </w:r>
          </w:p>
        </w:tc>
      </w:tr>
      <w:tr w:rsidR="004B655F" w:rsidRPr="004B655F" w14:paraId="1BAFDF63" w14:textId="77777777" w:rsidTr="00B96CF1">
        <w:trPr>
          <w:trHeight w:val="53"/>
          <w:jc w:val="center"/>
        </w:trPr>
        <w:tc>
          <w:tcPr>
            <w:tcW w:w="1198" w:type="dxa"/>
            <w:vMerge/>
            <w:tcBorders>
              <w:top w:val="single" w:sz="4" w:space="0" w:color="auto"/>
              <w:left w:val="single" w:sz="4" w:space="0" w:color="auto"/>
              <w:bottom w:val="single" w:sz="4" w:space="0" w:color="auto"/>
              <w:right w:val="single" w:sz="4" w:space="0" w:color="auto"/>
            </w:tcBorders>
            <w:vAlign w:val="center"/>
            <w:hideMark/>
          </w:tcPr>
          <w:p w14:paraId="5EEA4AB1"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p>
        </w:tc>
        <w:tc>
          <w:tcPr>
            <w:tcW w:w="666" w:type="dxa"/>
            <w:tcBorders>
              <w:top w:val="nil"/>
              <w:left w:val="nil"/>
              <w:bottom w:val="single" w:sz="4" w:space="0" w:color="auto"/>
              <w:right w:val="single" w:sz="4" w:space="0" w:color="auto"/>
            </w:tcBorders>
            <w:shd w:val="clear" w:color="auto" w:fill="auto"/>
            <w:noWrap/>
            <w:vAlign w:val="bottom"/>
            <w:hideMark/>
          </w:tcPr>
          <w:p w14:paraId="5D40558B"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 xml:space="preserve">GB </w:t>
            </w:r>
          </w:p>
        </w:tc>
        <w:tc>
          <w:tcPr>
            <w:tcW w:w="554" w:type="dxa"/>
            <w:tcBorders>
              <w:top w:val="nil"/>
              <w:left w:val="nil"/>
              <w:bottom w:val="single" w:sz="4" w:space="0" w:color="auto"/>
              <w:right w:val="single" w:sz="4" w:space="0" w:color="auto"/>
            </w:tcBorders>
            <w:shd w:val="clear" w:color="auto" w:fill="auto"/>
            <w:noWrap/>
            <w:vAlign w:val="bottom"/>
            <w:hideMark/>
          </w:tcPr>
          <w:p w14:paraId="081EAF42"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MHz</w:t>
            </w:r>
          </w:p>
        </w:tc>
        <w:tc>
          <w:tcPr>
            <w:tcW w:w="718" w:type="dxa"/>
            <w:tcBorders>
              <w:top w:val="nil"/>
              <w:left w:val="nil"/>
              <w:bottom w:val="single" w:sz="4" w:space="0" w:color="auto"/>
              <w:right w:val="single" w:sz="4" w:space="0" w:color="auto"/>
            </w:tcBorders>
            <w:shd w:val="clear" w:color="auto" w:fill="auto"/>
            <w:noWrap/>
            <w:vAlign w:val="bottom"/>
            <w:hideMark/>
          </w:tcPr>
          <w:p w14:paraId="1C3630D3"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0.2425</w:t>
            </w:r>
          </w:p>
        </w:tc>
        <w:tc>
          <w:tcPr>
            <w:tcW w:w="718" w:type="dxa"/>
            <w:tcBorders>
              <w:top w:val="nil"/>
              <w:left w:val="nil"/>
              <w:bottom w:val="single" w:sz="4" w:space="0" w:color="auto"/>
              <w:right w:val="single" w:sz="4" w:space="0" w:color="auto"/>
            </w:tcBorders>
            <w:shd w:val="clear" w:color="auto" w:fill="auto"/>
            <w:noWrap/>
            <w:vAlign w:val="bottom"/>
            <w:hideMark/>
          </w:tcPr>
          <w:p w14:paraId="65FBCAD1"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0.3125</w:t>
            </w:r>
          </w:p>
        </w:tc>
        <w:tc>
          <w:tcPr>
            <w:tcW w:w="718" w:type="dxa"/>
            <w:tcBorders>
              <w:top w:val="nil"/>
              <w:left w:val="nil"/>
              <w:bottom w:val="single" w:sz="4" w:space="0" w:color="auto"/>
              <w:right w:val="single" w:sz="4" w:space="0" w:color="auto"/>
            </w:tcBorders>
            <w:shd w:val="clear" w:color="auto" w:fill="auto"/>
            <w:noWrap/>
            <w:vAlign w:val="bottom"/>
            <w:hideMark/>
          </w:tcPr>
          <w:p w14:paraId="07A0AEA9"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0.3825</w:t>
            </w:r>
          </w:p>
        </w:tc>
        <w:tc>
          <w:tcPr>
            <w:tcW w:w="718" w:type="dxa"/>
            <w:tcBorders>
              <w:top w:val="nil"/>
              <w:left w:val="nil"/>
              <w:bottom w:val="single" w:sz="4" w:space="0" w:color="auto"/>
              <w:right w:val="single" w:sz="4" w:space="0" w:color="auto"/>
            </w:tcBorders>
            <w:shd w:val="clear" w:color="auto" w:fill="auto"/>
            <w:noWrap/>
            <w:vAlign w:val="center"/>
            <w:hideMark/>
          </w:tcPr>
          <w:p w14:paraId="3A59511A"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0.4525</w:t>
            </w:r>
          </w:p>
        </w:tc>
        <w:tc>
          <w:tcPr>
            <w:tcW w:w="718" w:type="dxa"/>
            <w:tcBorders>
              <w:top w:val="nil"/>
              <w:left w:val="nil"/>
              <w:bottom w:val="single" w:sz="4" w:space="0" w:color="auto"/>
              <w:right w:val="single" w:sz="4" w:space="0" w:color="auto"/>
            </w:tcBorders>
            <w:shd w:val="clear" w:color="auto" w:fill="auto"/>
            <w:noWrap/>
            <w:vAlign w:val="center"/>
            <w:hideMark/>
          </w:tcPr>
          <w:p w14:paraId="0F8925C5"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0.5225</w:t>
            </w:r>
          </w:p>
        </w:tc>
        <w:tc>
          <w:tcPr>
            <w:tcW w:w="718" w:type="dxa"/>
            <w:tcBorders>
              <w:top w:val="nil"/>
              <w:left w:val="nil"/>
              <w:bottom w:val="single" w:sz="4" w:space="0" w:color="auto"/>
              <w:right w:val="single" w:sz="4" w:space="0" w:color="auto"/>
            </w:tcBorders>
            <w:shd w:val="clear" w:color="auto" w:fill="auto"/>
            <w:noWrap/>
            <w:vAlign w:val="center"/>
            <w:hideMark/>
          </w:tcPr>
          <w:p w14:paraId="1B7AA972"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0.5925</w:t>
            </w:r>
          </w:p>
        </w:tc>
        <w:tc>
          <w:tcPr>
            <w:tcW w:w="718" w:type="dxa"/>
            <w:tcBorders>
              <w:top w:val="nil"/>
              <w:left w:val="nil"/>
              <w:bottom w:val="single" w:sz="4" w:space="0" w:color="auto"/>
              <w:right w:val="single" w:sz="4" w:space="0" w:color="auto"/>
            </w:tcBorders>
            <w:shd w:val="clear" w:color="auto" w:fill="auto"/>
            <w:noWrap/>
            <w:vAlign w:val="center"/>
            <w:hideMark/>
          </w:tcPr>
          <w:p w14:paraId="4BC33AB4"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0.5725</w:t>
            </w:r>
          </w:p>
        </w:tc>
      </w:tr>
      <w:tr w:rsidR="004B655F" w:rsidRPr="004B655F" w14:paraId="242F1F4A" w14:textId="77777777" w:rsidTr="00B96CF1">
        <w:trPr>
          <w:trHeight w:val="53"/>
          <w:jc w:val="center"/>
        </w:trPr>
        <w:tc>
          <w:tcPr>
            <w:tcW w:w="1198" w:type="dxa"/>
            <w:vMerge w:val="restart"/>
            <w:tcBorders>
              <w:top w:val="nil"/>
              <w:left w:val="single" w:sz="4" w:space="0" w:color="auto"/>
              <w:bottom w:val="single" w:sz="4" w:space="0" w:color="auto"/>
              <w:right w:val="single" w:sz="4" w:space="0" w:color="auto"/>
            </w:tcBorders>
            <w:shd w:val="clear" w:color="auto" w:fill="auto"/>
            <w:hideMark/>
          </w:tcPr>
          <w:p w14:paraId="4519A431"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n71/n105 DL channel</w:t>
            </w:r>
          </w:p>
        </w:tc>
        <w:tc>
          <w:tcPr>
            <w:tcW w:w="666" w:type="dxa"/>
            <w:tcBorders>
              <w:top w:val="nil"/>
              <w:left w:val="nil"/>
              <w:bottom w:val="single" w:sz="4" w:space="0" w:color="auto"/>
              <w:right w:val="single" w:sz="4" w:space="0" w:color="auto"/>
            </w:tcBorders>
            <w:shd w:val="clear" w:color="auto" w:fill="auto"/>
            <w:noWrap/>
            <w:vAlign w:val="bottom"/>
            <w:hideMark/>
          </w:tcPr>
          <w:p w14:paraId="03BCD3BB"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Flow</w:t>
            </w:r>
          </w:p>
        </w:tc>
        <w:tc>
          <w:tcPr>
            <w:tcW w:w="554" w:type="dxa"/>
            <w:tcBorders>
              <w:top w:val="nil"/>
              <w:left w:val="nil"/>
              <w:bottom w:val="single" w:sz="4" w:space="0" w:color="auto"/>
              <w:right w:val="single" w:sz="4" w:space="0" w:color="auto"/>
            </w:tcBorders>
            <w:shd w:val="clear" w:color="auto" w:fill="auto"/>
            <w:noWrap/>
            <w:vAlign w:val="bottom"/>
            <w:hideMark/>
          </w:tcPr>
          <w:p w14:paraId="7E135DEF"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MHz</w:t>
            </w:r>
          </w:p>
        </w:tc>
        <w:tc>
          <w:tcPr>
            <w:tcW w:w="718" w:type="dxa"/>
            <w:tcBorders>
              <w:top w:val="nil"/>
              <w:left w:val="nil"/>
              <w:bottom w:val="single" w:sz="4" w:space="0" w:color="auto"/>
              <w:right w:val="single" w:sz="4" w:space="0" w:color="auto"/>
            </w:tcBorders>
            <w:shd w:val="clear" w:color="auto" w:fill="auto"/>
            <w:noWrap/>
            <w:vAlign w:val="bottom"/>
            <w:hideMark/>
          </w:tcPr>
          <w:p w14:paraId="48079215"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647.2</w:t>
            </w:r>
          </w:p>
        </w:tc>
        <w:tc>
          <w:tcPr>
            <w:tcW w:w="718" w:type="dxa"/>
            <w:tcBorders>
              <w:top w:val="nil"/>
              <w:left w:val="nil"/>
              <w:bottom w:val="single" w:sz="4" w:space="0" w:color="auto"/>
              <w:right w:val="single" w:sz="4" w:space="0" w:color="auto"/>
            </w:tcBorders>
            <w:shd w:val="clear" w:color="auto" w:fill="auto"/>
            <w:noWrap/>
            <w:vAlign w:val="bottom"/>
            <w:hideMark/>
          </w:tcPr>
          <w:p w14:paraId="657C1DFF"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642.3</w:t>
            </w:r>
          </w:p>
        </w:tc>
        <w:tc>
          <w:tcPr>
            <w:tcW w:w="718" w:type="dxa"/>
            <w:tcBorders>
              <w:top w:val="nil"/>
              <w:left w:val="nil"/>
              <w:bottom w:val="single" w:sz="4" w:space="0" w:color="auto"/>
              <w:right w:val="single" w:sz="4" w:space="0" w:color="auto"/>
            </w:tcBorders>
            <w:shd w:val="clear" w:color="auto" w:fill="auto"/>
            <w:noWrap/>
            <w:vAlign w:val="bottom"/>
            <w:hideMark/>
          </w:tcPr>
          <w:p w14:paraId="6597AED4"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637.4</w:t>
            </w:r>
          </w:p>
        </w:tc>
        <w:tc>
          <w:tcPr>
            <w:tcW w:w="718" w:type="dxa"/>
            <w:tcBorders>
              <w:top w:val="nil"/>
              <w:left w:val="nil"/>
              <w:bottom w:val="single" w:sz="4" w:space="0" w:color="auto"/>
              <w:right w:val="single" w:sz="4" w:space="0" w:color="auto"/>
            </w:tcBorders>
            <w:shd w:val="clear" w:color="auto" w:fill="auto"/>
            <w:noWrap/>
            <w:vAlign w:val="bottom"/>
            <w:hideMark/>
          </w:tcPr>
          <w:p w14:paraId="071AEA23"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632.5</w:t>
            </w:r>
          </w:p>
        </w:tc>
        <w:tc>
          <w:tcPr>
            <w:tcW w:w="718" w:type="dxa"/>
            <w:tcBorders>
              <w:top w:val="nil"/>
              <w:left w:val="nil"/>
              <w:bottom w:val="single" w:sz="4" w:space="0" w:color="auto"/>
              <w:right w:val="single" w:sz="4" w:space="0" w:color="auto"/>
            </w:tcBorders>
            <w:shd w:val="clear" w:color="auto" w:fill="auto"/>
            <w:noWrap/>
            <w:vAlign w:val="bottom"/>
            <w:hideMark/>
          </w:tcPr>
          <w:p w14:paraId="2E950281"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627.5</w:t>
            </w:r>
          </w:p>
        </w:tc>
        <w:tc>
          <w:tcPr>
            <w:tcW w:w="718" w:type="dxa"/>
            <w:tcBorders>
              <w:top w:val="nil"/>
              <w:left w:val="nil"/>
              <w:bottom w:val="single" w:sz="4" w:space="0" w:color="auto"/>
              <w:right w:val="single" w:sz="4" w:space="0" w:color="auto"/>
            </w:tcBorders>
            <w:shd w:val="clear" w:color="auto" w:fill="auto"/>
            <w:noWrap/>
            <w:vAlign w:val="bottom"/>
            <w:hideMark/>
          </w:tcPr>
          <w:p w14:paraId="258DD4C6"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622.6</w:t>
            </w:r>
          </w:p>
        </w:tc>
        <w:tc>
          <w:tcPr>
            <w:tcW w:w="718" w:type="dxa"/>
            <w:tcBorders>
              <w:top w:val="nil"/>
              <w:left w:val="nil"/>
              <w:bottom w:val="single" w:sz="4" w:space="0" w:color="auto"/>
              <w:right w:val="single" w:sz="4" w:space="0" w:color="auto"/>
            </w:tcBorders>
            <w:shd w:val="clear" w:color="auto" w:fill="auto"/>
            <w:noWrap/>
            <w:vAlign w:val="bottom"/>
            <w:hideMark/>
          </w:tcPr>
          <w:p w14:paraId="4D287576"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617.6</w:t>
            </w:r>
          </w:p>
        </w:tc>
      </w:tr>
      <w:tr w:rsidR="004B655F" w:rsidRPr="004B655F" w14:paraId="1996950B" w14:textId="77777777" w:rsidTr="00B96CF1">
        <w:trPr>
          <w:trHeight w:val="53"/>
          <w:jc w:val="center"/>
        </w:trPr>
        <w:tc>
          <w:tcPr>
            <w:tcW w:w="1198" w:type="dxa"/>
            <w:vMerge/>
            <w:tcBorders>
              <w:top w:val="nil"/>
              <w:left w:val="single" w:sz="4" w:space="0" w:color="auto"/>
              <w:bottom w:val="single" w:sz="4" w:space="0" w:color="auto"/>
              <w:right w:val="single" w:sz="4" w:space="0" w:color="auto"/>
            </w:tcBorders>
            <w:vAlign w:val="center"/>
            <w:hideMark/>
          </w:tcPr>
          <w:p w14:paraId="3ED0112E"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p>
        </w:tc>
        <w:tc>
          <w:tcPr>
            <w:tcW w:w="666" w:type="dxa"/>
            <w:tcBorders>
              <w:top w:val="nil"/>
              <w:left w:val="nil"/>
              <w:bottom w:val="single" w:sz="4" w:space="0" w:color="auto"/>
              <w:right w:val="single" w:sz="4" w:space="0" w:color="auto"/>
            </w:tcBorders>
            <w:shd w:val="clear" w:color="auto" w:fill="auto"/>
            <w:noWrap/>
            <w:vAlign w:val="bottom"/>
            <w:hideMark/>
          </w:tcPr>
          <w:p w14:paraId="4F2FED7F"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Fhigh</w:t>
            </w:r>
          </w:p>
        </w:tc>
        <w:tc>
          <w:tcPr>
            <w:tcW w:w="554" w:type="dxa"/>
            <w:tcBorders>
              <w:top w:val="nil"/>
              <w:left w:val="nil"/>
              <w:bottom w:val="single" w:sz="4" w:space="0" w:color="auto"/>
              <w:right w:val="single" w:sz="4" w:space="0" w:color="auto"/>
            </w:tcBorders>
            <w:shd w:val="clear" w:color="auto" w:fill="auto"/>
            <w:noWrap/>
            <w:vAlign w:val="bottom"/>
            <w:hideMark/>
          </w:tcPr>
          <w:p w14:paraId="7CB70E87"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MHz</w:t>
            </w:r>
          </w:p>
        </w:tc>
        <w:tc>
          <w:tcPr>
            <w:tcW w:w="718" w:type="dxa"/>
            <w:tcBorders>
              <w:top w:val="nil"/>
              <w:left w:val="nil"/>
              <w:bottom w:val="single" w:sz="4" w:space="0" w:color="auto"/>
              <w:right w:val="single" w:sz="4" w:space="0" w:color="auto"/>
            </w:tcBorders>
            <w:shd w:val="clear" w:color="auto" w:fill="auto"/>
            <w:noWrap/>
            <w:vAlign w:val="bottom"/>
            <w:hideMark/>
          </w:tcPr>
          <w:p w14:paraId="15B558BE"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651.7</w:t>
            </w:r>
          </w:p>
        </w:tc>
        <w:tc>
          <w:tcPr>
            <w:tcW w:w="718" w:type="dxa"/>
            <w:tcBorders>
              <w:top w:val="nil"/>
              <w:left w:val="nil"/>
              <w:bottom w:val="single" w:sz="4" w:space="0" w:color="auto"/>
              <w:right w:val="single" w:sz="4" w:space="0" w:color="auto"/>
            </w:tcBorders>
            <w:shd w:val="clear" w:color="auto" w:fill="auto"/>
            <w:noWrap/>
            <w:vAlign w:val="bottom"/>
            <w:hideMark/>
          </w:tcPr>
          <w:p w14:paraId="691A22B3"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651.7</w:t>
            </w:r>
          </w:p>
        </w:tc>
        <w:tc>
          <w:tcPr>
            <w:tcW w:w="718" w:type="dxa"/>
            <w:tcBorders>
              <w:top w:val="nil"/>
              <w:left w:val="nil"/>
              <w:bottom w:val="single" w:sz="4" w:space="0" w:color="auto"/>
              <w:right w:val="single" w:sz="4" w:space="0" w:color="auto"/>
            </w:tcBorders>
            <w:shd w:val="clear" w:color="auto" w:fill="auto"/>
            <w:noWrap/>
            <w:vAlign w:val="bottom"/>
            <w:hideMark/>
          </w:tcPr>
          <w:p w14:paraId="2AB21747"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651.6</w:t>
            </w:r>
          </w:p>
        </w:tc>
        <w:tc>
          <w:tcPr>
            <w:tcW w:w="718" w:type="dxa"/>
            <w:tcBorders>
              <w:top w:val="nil"/>
              <w:left w:val="nil"/>
              <w:bottom w:val="single" w:sz="4" w:space="0" w:color="auto"/>
              <w:right w:val="single" w:sz="4" w:space="0" w:color="auto"/>
            </w:tcBorders>
            <w:shd w:val="clear" w:color="auto" w:fill="auto"/>
            <w:noWrap/>
            <w:vAlign w:val="bottom"/>
            <w:hideMark/>
          </w:tcPr>
          <w:p w14:paraId="0D33C800"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651.5</w:t>
            </w:r>
          </w:p>
        </w:tc>
        <w:tc>
          <w:tcPr>
            <w:tcW w:w="718" w:type="dxa"/>
            <w:tcBorders>
              <w:top w:val="nil"/>
              <w:left w:val="nil"/>
              <w:bottom w:val="single" w:sz="4" w:space="0" w:color="auto"/>
              <w:right w:val="single" w:sz="4" w:space="0" w:color="auto"/>
            </w:tcBorders>
            <w:shd w:val="clear" w:color="auto" w:fill="auto"/>
            <w:noWrap/>
            <w:vAlign w:val="bottom"/>
            <w:hideMark/>
          </w:tcPr>
          <w:p w14:paraId="168C6D3D"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651.5</w:t>
            </w:r>
          </w:p>
        </w:tc>
        <w:tc>
          <w:tcPr>
            <w:tcW w:w="718" w:type="dxa"/>
            <w:tcBorders>
              <w:top w:val="nil"/>
              <w:left w:val="nil"/>
              <w:bottom w:val="single" w:sz="4" w:space="0" w:color="auto"/>
              <w:right w:val="single" w:sz="4" w:space="0" w:color="auto"/>
            </w:tcBorders>
            <w:shd w:val="clear" w:color="auto" w:fill="auto"/>
            <w:noWrap/>
            <w:vAlign w:val="bottom"/>
            <w:hideMark/>
          </w:tcPr>
          <w:p w14:paraId="24476A58"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651.4</w:t>
            </w:r>
          </w:p>
        </w:tc>
        <w:tc>
          <w:tcPr>
            <w:tcW w:w="718" w:type="dxa"/>
            <w:tcBorders>
              <w:top w:val="nil"/>
              <w:left w:val="nil"/>
              <w:bottom w:val="single" w:sz="4" w:space="0" w:color="auto"/>
              <w:right w:val="single" w:sz="4" w:space="0" w:color="auto"/>
            </w:tcBorders>
            <w:shd w:val="clear" w:color="auto" w:fill="auto"/>
            <w:noWrap/>
            <w:vAlign w:val="bottom"/>
            <w:hideMark/>
          </w:tcPr>
          <w:p w14:paraId="62C779C0"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651.4</w:t>
            </w:r>
          </w:p>
        </w:tc>
      </w:tr>
      <w:tr w:rsidR="004B655F" w:rsidRPr="004B655F" w14:paraId="344AD400" w14:textId="77777777" w:rsidTr="00B96CF1">
        <w:trPr>
          <w:trHeight w:val="53"/>
          <w:jc w:val="center"/>
        </w:trPr>
        <w:tc>
          <w:tcPr>
            <w:tcW w:w="1198" w:type="dxa"/>
            <w:vMerge w:val="restart"/>
            <w:tcBorders>
              <w:top w:val="nil"/>
              <w:left w:val="single" w:sz="4" w:space="0" w:color="auto"/>
              <w:bottom w:val="single" w:sz="4" w:space="0" w:color="auto"/>
              <w:right w:val="single" w:sz="4" w:space="0" w:color="auto"/>
            </w:tcBorders>
            <w:shd w:val="clear" w:color="auto" w:fill="auto"/>
            <w:hideMark/>
          </w:tcPr>
          <w:p w14:paraId="40E075C0"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UL channel configuration</w:t>
            </w:r>
          </w:p>
        </w:tc>
        <w:tc>
          <w:tcPr>
            <w:tcW w:w="666" w:type="dxa"/>
            <w:tcBorders>
              <w:top w:val="nil"/>
              <w:left w:val="nil"/>
              <w:bottom w:val="single" w:sz="4" w:space="0" w:color="auto"/>
              <w:right w:val="single" w:sz="4" w:space="0" w:color="auto"/>
            </w:tcBorders>
            <w:shd w:val="clear" w:color="auto" w:fill="auto"/>
            <w:noWrap/>
            <w:vAlign w:val="bottom"/>
            <w:hideMark/>
          </w:tcPr>
          <w:p w14:paraId="7E122DC6"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ULBW</w:t>
            </w:r>
          </w:p>
        </w:tc>
        <w:tc>
          <w:tcPr>
            <w:tcW w:w="554" w:type="dxa"/>
            <w:tcBorders>
              <w:top w:val="nil"/>
              <w:left w:val="nil"/>
              <w:bottom w:val="single" w:sz="4" w:space="0" w:color="auto"/>
              <w:right w:val="single" w:sz="4" w:space="0" w:color="auto"/>
            </w:tcBorders>
            <w:shd w:val="clear" w:color="auto" w:fill="auto"/>
            <w:noWrap/>
            <w:vAlign w:val="bottom"/>
            <w:hideMark/>
          </w:tcPr>
          <w:p w14:paraId="1A72FBC5"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MHz</w:t>
            </w:r>
          </w:p>
        </w:tc>
        <w:tc>
          <w:tcPr>
            <w:tcW w:w="718" w:type="dxa"/>
            <w:tcBorders>
              <w:top w:val="nil"/>
              <w:left w:val="nil"/>
              <w:bottom w:val="single" w:sz="4" w:space="0" w:color="auto"/>
              <w:right w:val="single" w:sz="4" w:space="0" w:color="auto"/>
            </w:tcBorders>
            <w:shd w:val="clear" w:color="auto" w:fill="auto"/>
            <w:noWrap/>
            <w:vAlign w:val="bottom"/>
            <w:hideMark/>
          </w:tcPr>
          <w:p w14:paraId="48316B57"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15.0</w:t>
            </w:r>
          </w:p>
        </w:tc>
        <w:tc>
          <w:tcPr>
            <w:tcW w:w="718" w:type="dxa"/>
            <w:tcBorders>
              <w:top w:val="nil"/>
              <w:left w:val="nil"/>
              <w:bottom w:val="single" w:sz="4" w:space="0" w:color="auto"/>
              <w:right w:val="single" w:sz="4" w:space="0" w:color="auto"/>
            </w:tcBorders>
            <w:shd w:val="clear" w:color="auto" w:fill="auto"/>
            <w:noWrap/>
            <w:vAlign w:val="bottom"/>
            <w:hideMark/>
          </w:tcPr>
          <w:p w14:paraId="2AEFB9FB"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15.0</w:t>
            </w:r>
          </w:p>
        </w:tc>
        <w:tc>
          <w:tcPr>
            <w:tcW w:w="718" w:type="dxa"/>
            <w:tcBorders>
              <w:top w:val="nil"/>
              <w:left w:val="nil"/>
              <w:bottom w:val="single" w:sz="4" w:space="0" w:color="auto"/>
              <w:right w:val="single" w:sz="4" w:space="0" w:color="auto"/>
            </w:tcBorders>
            <w:shd w:val="clear" w:color="auto" w:fill="auto"/>
            <w:noWrap/>
            <w:vAlign w:val="bottom"/>
            <w:hideMark/>
          </w:tcPr>
          <w:p w14:paraId="49BE8FB3"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15.0</w:t>
            </w:r>
          </w:p>
        </w:tc>
        <w:tc>
          <w:tcPr>
            <w:tcW w:w="718" w:type="dxa"/>
            <w:tcBorders>
              <w:top w:val="nil"/>
              <w:left w:val="nil"/>
              <w:bottom w:val="single" w:sz="4" w:space="0" w:color="auto"/>
              <w:right w:val="single" w:sz="4" w:space="0" w:color="auto"/>
            </w:tcBorders>
            <w:shd w:val="clear" w:color="auto" w:fill="auto"/>
            <w:noWrap/>
            <w:vAlign w:val="bottom"/>
            <w:hideMark/>
          </w:tcPr>
          <w:p w14:paraId="2E9BA4BD"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20.0</w:t>
            </w:r>
          </w:p>
        </w:tc>
        <w:tc>
          <w:tcPr>
            <w:tcW w:w="718" w:type="dxa"/>
            <w:tcBorders>
              <w:top w:val="nil"/>
              <w:left w:val="nil"/>
              <w:bottom w:val="single" w:sz="4" w:space="0" w:color="auto"/>
              <w:right w:val="single" w:sz="4" w:space="0" w:color="auto"/>
            </w:tcBorders>
            <w:shd w:val="clear" w:color="auto" w:fill="auto"/>
            <w:noWrap/>
            <w:vAlign w:val="bottom"/>
            <w:hideMark/>
          </w:tcPr>
          <w:p w14:paraId="240BB0EB"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20.0</w:t>
            </w:r>
          </w:p>
        </w:tc>
        <w:tc>
          <w:tcPr>
            <w:tcW w:w="718" w:type="dxa"/>
            <w:tcBorders>
              <w:top w:val="nil"/>
              <w:left w:val="nil"/>
              <w:bottom w:val="single" w:sz="4" w:space="0" w:color="auto"/>
              <w:right w:val="single" w:sz="4" w:space="0" w:color="auto"/>
            </w:tcBorders>
            <w:shd w:val="clear" w:color="auto" w:fill="auto"/>
            <w:noWrap/>
            <w:vAlign w:val="bottom"/>
            <w:hideMark/>
          </w:tcPr>
          <w:p w14:paraId="6F8EDB12"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20.0</w:t>
            </w:r>
          </w:p>
        </w:tc>
        <w:tc>
          <w:tcPr>
            <w:tcW w:w="718" w:type="dxa"/>
            <w:tcBorders>
              <w:top w:val="nil"/>
              <w:left w:val="nil"/>
              <w:bottom w:val="single" w:sz="4" w:space="0" w:color="auto"/>
              <w:right w:val="single" w:sz="4" w:space="0" w:color="auto"/>
            </w:tcBorders>
            <w:shd w:val="clear" w:color="auto" w:fill="auto"/>
            <w:noWrap/>
            <w:vAlign w:val="bottom"/>
            <w:hideMark/>
          </w:tcPr>
          <w:p w14:paraId="5677281D"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20.0</w:t>
            </w:r>
          </w:p>
        </w:tc>
      </w:tr>
      <w:tr w:rsidR="004B655F" w:rsidRPr="004B655F" w14:paraId="5BD7DD19" w14:textId="77777777" w:rsidTr="00B96CF1">
        <w:trPr>
          <w:trHeight w:val="53"/>
          <w:jc w:val="center"/>
        </w:trPr>
        <w:tc>
          <w:tcPr>
            <w:tcW w:w="1198" w:type="dxa"/>
            <w:vMerge/>
            <w:tcBorders>
              <w:top w:val="nil"/>
              <w:left w:val="single" w:sz="4" w:space="0" w:color="auto"/>
              <w:bottom w:val="single" w:sz="4" w:space="0" w:color="auto"/>
              <w:right w:val="single" w:sz="4" w:space="0" w:color="auto"/>
            </w:tcBorders>
            <w:vAlign w:val="center"/>
            <w:hideMark/>
          </w:tcPr>
          <w:p w14:paraId="35B3DA51"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p>
        </w:tc>
        <w:tc>
          <w:tcPr>
            <w:tcW w:w="666" w:type="dxa"/>
            <w:tcBorders>
              <w:top w:val="nil"/>
              <w:left w:val="nil"/>
              <w:bottom w:val="single" w:sz="4" w:space="0" w:color="auto"/>
              <w:right w:val="single" w:sz="4" w:space="0" w:color="auto"/>
            </w:tcBorders>
            <w:shd w:val="clear" w:color="auto" w:fill="auto"/>
            <w:noWrap/>
            <w:vAlign w:val="bottom"/>
            <w:hideMark/>
          </w:tcPr>
          <w:p w14:paraId="4FCB38DB"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ULRB</w:t>
            </w:r>
          </w:p>
        </w:tc>
        <w:tc>
          <w:tcPr>
            <w:tcW w:w="554" w:type="dxa"/>
            <w:tcBorders>
              <w:top w:val="nil"/>
              <w:left w:val="nil"/>
              <w:bottom w:val="single" w:sz="4" w:space="0" w:color="auto"/>
              <w:right w:val="single" w:sz="4" w:space="0" w:color="auto"/>
            </w:tcBorders>
            <w:shd w:val="clear" w:color="auto" w:fill="auto"/>
            <w:noWrap/>
            <w:vAlign w:val="bottom"/>
            <w:hideMark/>
          </w:tcPr>
          <w:p w14:paraId="425104D2"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w:t>
            </w:r>
          </w:p>
        </w:tc>
        <w:tc>
          <w:tcPr>
            <w:tcW w:w="718" w:type="dxa"/>
            <w:tcBorders>
              <w:top w:val="nil"/>
              <w:left w:val="nil"/>
              <w:bottom w:val="single" w:sz="4" w:space="0" w:color="auto"/>
              <w:right w:val="single" w:sz="4" w:space="0" w:color="auto"/>
            </w:tcBorders>
            <w:shd w:val="clear" w:color="auto" w:fill="auto"/>
            <w:noWrap/>
            <w:vAlign w:val="bottom"/>
            <w:hideMark/>
          </w:tcPr>
          <w:p w14:paraId="3932CF45"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20.0</w:t>
            </w:r>
          </w:p>
        </w:tc>
        <w:tc>
          <w:tcPr>
            <w:tcW w:w="718" w:type="dxa"/>
            <w:tcBorders>
              <w:top w:val="nil"/>
              <w:left w:val="nil"/>
              <w:bottom w:val="single" w:sz="4" w:space="0" w:color="auto"/>
              <w:right w:val="single" w:sz="4" w:space="0" w:color="auto"/>
            </w:tcBorders>
            <w:shd w:val="clear" w:color="auto" w:fill="auto"/>
            <w:noWrap/>
            <w:vAlign w:val="bottom"/>
            <w:hideMark/>
          </w:tcPr>
          <w:p w14:paraId="6D4661E1"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20.0</w:t>
            </w:r>
          </w:p>
        </w:tc>
        <w:tc>
          <w:tcPr>
            <w:tcW w:w="718" w:type="dxa"/>
            <w:tcBorders>
              <w:top w:val="nil"/>
              <w:left w:val="nil"/>
              <w:bottom w:val="single" w:sz="4" w:space="0" w:color="auto"/>
              <w:right w:val="single" w:sz="4" w:space="0" w:color="auto"/>
            </w:tcBorders>
            <w:shd w:val="clear" w:color="auto" w:fill="auto"/>
            <w:noWrap/>
            <w:vAlign w:val="bottom"/>
            <w:hideMark/>
          </w:tcPr>
          <w:p w14:paraId="4025F072"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20.0</w:t>
            </w:r>
          </w:p>
        </w:tc>
        <w:tc>
          <w:tcPr>
            <w:tcW w:w="718" w:type="dxa"/>
            <w:tcBorders>
              <w:top w:val="nil"/>
              <w:left w:val="nil"/>
              <w:bottom w:val="single" w:sz="4" w:space="0" w:color="auto"/>
              <w:right w:val="single" w:sz="4" w:space="0" w:color="auto"/>
            </w:tcBorders>
            <w:shd w:val="clear" w:color="auto" w:fill="auto"/>
            <w:noWrap/>
            <w:vAlign w:val="bottom"/>
            <w:hideMark/>
          </w:tcPr>
          <w:p w14:paraId="0A861B10"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20.0</w:t>
            </w:r>
          </w:p>
        </w:tc>
        <w:tc>
          <w:tcPr>
            <w:tcW w:w="718" w:type="dxa"/>
            <w:tcBorders>
              <w:top w:val="nil"/>
              <w:left w:val="nil"/>
              <w:bottom w:val="single" w:sz="4" w:space="0" w:color="auto"/>
              <w:right w:val="single" w:sz="4" w:space="0" w:color="auto"/>
            </w:tcBorders>
            <w:shd w:val="clear" w:color="auto" w:fill="auto"/>
            <w:noWrap/>
            <w:vAlign w:val="bottom"/>
            <w:hideMark/>
          </w:tcPr>
          <w:p w14:paraId="55C8D987"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20.0</w:t>
            </w:r>
          </w:p>
        </w:tc>
        <w:tc>
          <w:tcPr>
            <w:tcW w:w="718" w:type="dxa"/>
            <w:tcBorders>
              <w:top w:val="nil"/>
              <w:left w:val="nil"/>
              <w:bottom w:val="single" w:sz="4" w:space="0" w:color="auto"/>
              <w:right w:val="single" w:sz="4" w:space="0" w:color="auto"/>
            </w:tcBorders>
            <w:shd w:val="clear" w:color="auto" w:fill="auto"/>
            <w:noWrap/>
            <w:vAlign w:val="bottom"/>
            <w:hideMark/>
          </w:tcPr>
          <w:p w14:paraId="154DEA09"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20.0</w:t>
            </w:r>
          </w:p>
        </w:tc>
        <w:tc>
          <w:tcPr>
            <w:tcW w:w="718" w:type="dxa"/>
            <w:tcBorders>
              <w:top w:val="nil"/>
              <w:left w:val="nil"/>
              <w:bottom w:val="single" w:sz="4" w:space="0" w:color="auto"/>
              <w:right w:val="single" w:sz="4" w:space="0" w:color="auto"/>
            </w:tcBorders>
            <w:shd w:val="clear" w:color="auto" w:fill="auto"/>
            <w:noWrap/>
            <w:vAlign w:val="bottom"/>
            <w:hideMark/>
          </w:tcPr>
          <w:p w14:paraId="69181483"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20.0</w:t>
            </w:r>
          </w:p>
        </w:tc>
      </w:tr>
      <w:tr w:rsidR="004B655F" w:rsidRPr="004B655F" w14:paraId="65ECF147" w14:textId="77777777" w:rsidTr="00B96CF1">
        <w:trPr>
          <w:trHeight w:val="53"/>
          <w:jc w:val="center"/>
        </w:trPr>
        <w:tc>
          <w:tcPr>
            <w:tcW w:w="1198" w:type="dxa"/>
            <w:vMerge w:val="restart"/>
            <w:tcBorders>
              <w:top w:val="nil"/>
              <w:left w:val="single" w:sz="4" w:space="0" w:color="auto"/>
              <w:bottom w:val="single" w:sz="4" w:space="0" w:color="auto"/>
              <w:right w:val="single" w:sz="4" w:space="0" w:color="auto"/>
            </w:tcBorders>
            <w:shd w:val="clear" w:color="auto" w:fill="auto"/>
            <w:hideMark/>
          </w:tcPr>
          <w:p w14:paraId="0349FD6C"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n71UL TXBW</w:t>
            </w:r>
          </w:p>
        </w:tc>
        <w:tc>
          <w:tcPr>
            <w:tcW w:w="666" w:type="dxa"/>
            <w:tcBorders>
              <w:top w:val="nil"/>
              <w:left w:val="nil"/>
              <w:bottom w:val="single" w:sz="4" w:space="0" w:color="auto"/>
              <w:right w:val="single" w:sz="4" w:space="0" w:color="auto"/>
            </w:tcBorders>
            <w:shd w:val="clear" w:color="auto" w:fill="auto"/>
            <w:noWrap/>
            <w:vAlign w:val="bottom"/>
            <w:hideMark/>
          </w:tcPr>
          <w:p w14:paraId="488BDCF2"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Flow</w:t>
            </w:r>
          </w:p>
        </w:tc>
        <w:tc>
          <w:tcPr>
            <w:tcW w:w="554" w:type="dxa"/>
            <w:tcBorders>
              <w:top w:val="nil"/>
              <w:left w:val="nil"/>
              <w:bottom w:val="single" w:sz="4" w:space="0" w:color="auto"/>
              <w:right w:val="single" w:sz="4" w:space="0" w:color="auto"/>
            </w:tcBorders>
            <w:shd w:val="clear" w:color="auto" w:fill="auto"/>
            <w:noWrap/>
            <w:vAlign w:val="bottom"/>
            <w:hideMark/>
          </w:tcPr>
          <w:p w14:paraId="38A7F90C"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MHz</w:t>
            </w:r>
          </w:p>
        </w:tc>
        <w:tc>
          <w:tcPr>
            <w:tcW w:w="718" w:type="dxa"/>
            <w:tcBorders>
              <w:top w:val="nil"/>
              <w:left w:val="nil"/>
              <w:bottom w:val="single" w:sz="4" w:space="0" w:color="auto"/>
              <w:right w:val="single" w:sz="4" w:space="0" w:color="auto"/>
            </w:tcBorders>
            <w:shd w:val="clear" w:color="auto" w:fill="auto"/>
            <w:noWrap/>
            <w:vAlign w:val="bottom"/>
            <w:hideMark/>
          </w:tcPr>
          <w:p w14:paraId="1F0A16A1"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693.2</w:t>
            </w:r>
          </w:p>
        </w:tc>
        <w:tc>
          <w:tcPr>
            <w:tcW w:w="718" w:type="dxa"/>
            <w:tcBorders>
              <w:top w:val="nil"/>
              <w:left w:val="nil"/>
              <w:bottom w:val="single" w:sz="4" w:space="0" w:color="auto"/>
              <w:right w:val="single" w:sz="4" w:space="0" w:color="auto"/>
            </w:tcBorders>
            <w:shd w:val="clear" w:color="auto" w:fill="auto"/>
            <w:noWrap/>
            <w:vAlign w:val="bottom"/>
            <w:hideMark/>
          </w:tcPr>
          <w:p w14:paraId="6112ED16"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688.3</w:t>
            </w:r>
          </w:p>
        </w:tc>
        <w:tc>
          <w:tcPr>
            <w:tcW w:w="718" w:type="dxa"/>
            <w:tcBorders>
              <w:top w:val="nil"/>
              <w:left w:val="nil"/>
              <w:bottom w:val="single" w:sz="4" w:space="0" w:color="auto"/>
              <w:right w:val="single" w:sz="4" w:space="0" w:color="auto"/>
            </w:tcBorders>
            <w:shd w:val="clear" w:color="auto" w:fill="auto"/>
            <w:noWrap/>
            <w:vAlign w:val="bottom"/>
            <w:hideMark/>
          </w:tcPr>
          <w:p w14:paraId="2E1E5396"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683.4</w:t>
            </w:r>
          </w:p>
        </w:tc>
        <w:tc>
          <w:tcPr>
            <w:tcW w:w="718" w:type="dxa"/>
            <w:tcBorders>
              <w:top w:val="nil"/>
              <w:left w:val="nil"/>
              <w:bottom w:val="single" w:sz="4" w:space="0" w:color="auto"/>
              <w:right w:val="single" w:sz="4" w:space="0" w:color="auto"/>
            </w:tcBorders>
            <w:shd w:val="clear" w:color="auto" w:fill="auto"/>
            <w:noWrap/>
            <w:vAlign w:val="bottom"/>
            <w:hideMark/>
          </w:tcPr>
          <w:p w14:paraId="5C797F3A"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678.5</w:t>
            </w:r>
          </w:p>
        </w:tc>
        <w:tc>
          <w:tcPr>
            <w:tcW w:w="718" w:type="dxa"/>
            <w:tcBorders>
              <w:top w:val="nil"/>
              <w:left w:val="nil"/>
              <w:bottom w:val="single" w:sz="4" w:space="0" w:color="auto"/>
              <w:right w:val="single" w:sz="4" w:space="0" w:color="auto"/>
            </w:tcBorders>
            <w:shd w:val="clear" w:color="auto" w:fill="auto"/>
            <w:noWrap/>
            <w:vAlign w:val="bottom"/>
            <w:hideMark/>
          </w:tcPr>
          <w:p w14:paraId="3C12B6D4"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676.0</w:t>
            </w:r>
          </w:p>
        </w:tc>
        <w:tc>
          <w:tcPr>
            <w:tcW w:w="718" w:type="dxa"/>
            <w:tcBorders>
              <w:top w:val="nil"/>
              <w:left w:val="nil"/>
              <w:bottom w:val="single" w:sz="4" w:space="0" w:color="auto"/>
              <w:right w:val="single" w:sz="4" w:space="0" w:color="auto"/>
            </w:tcBorders>
            <w:shd w:val="clear" w:color="auto" w:fill="auto"/>
            <w:noWrap/>
            <w:vAlign w:val="bottom"/>
            <w:hideMark/>
          </w:tcPr>
          <w:p w14:paraId="34FCA5ED"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673.5</w:t>
            </w:r>
          </w:p>
        </w:tc>
        <w:tc>
          <w:tcPr>
            <w:tcW w:w="718" w:type="dxa"/>
            <w:tcBorders>
              <w:top w:val="nil"/>
              <w:left w:val="nil"/>
              <w:bottom w:val="single" w:sz="4" w:space="0" w:color="auto"/>
              <w:right w:val="single" w:sz="4" w:space="0" w:color="auto"/>
            </w:tcBorders>
            <w:shd w:val="clear" w:color="auto" w:fill="auto"/>
            <w:noWrap/>
            <w:vAlign w:val="bottom"/>
            <w:hideMark/>
          </w:tcPr>
          <w:p w14:paraId="5B7656CE"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671.0</w:t>
            </w:r>
          </w:p>
        </w:tc>
      </w:tr>
      <w:tr w:rsidR="004B655F" w:rsidRPr="004B655F" w14:paraId="5DEE1167" w14:textId="77777777" w:rsidTr="00B96CF1">
        <w:trPr>
          <w:trHeight w:val="53"/>
          <w:jc w:val="center"/>
        </w:trPr>
        <w:tc>
          <w:tcPr>
            <w:tcW w:w="1198" w:type="dxa"/>
            <w:vMerge/>
            <w:tcBorders>
              <w:top w:val="nil"/>
              <w:left w:val="single" w:sz="4" w:space="0" w:color="auto"/>
              <w:bottom w:val="single" w:sz="4" w:space="0" w:color="auto"/>
              <w:right w:val="single" w:sz="4" w:space="0" w:color="auto"/>
            </w:tcBorders>
            <w:vAlign w:val="center"/>
            <w:hideMark/>
          </w:tcPr>
          <w:p w14:paraId="4DF125D5"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p>
        </w:tc>
        <w:tc>
          <w:tcPr>
            <w:tcW w:w="666" w:type="dxa"/>
            <w:tcBorders>
              <w:top w:val="nil"/>
              <w:left w:val="nil"/>
              <w:bottom w:val="single" w:sz="4" w:space="0" w:color="auto"/>
              <w:right w:val="single" w:sz="4" w:space="0" w:color="auto"/>
            </w:tcBorders>
            <w:shd w:val="clear" w:color="auto" w:fill="auto"/>
            <w:noWrap/>
            <w:vAlign w:val="bottom"/>
            <w:hideMark/>
          </w:tcPr>
          <w:p w14:paraId="37452B94"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Fhigh</w:t>
            </w:r>
          </w:p>
        </w:tc>
        <w:tc>
          <w:tcPr>
            <w:tcW w:w="554" w:type="dxa"/>
            <w:tcBorders>
              <w:top w:val="nil"/>
              <w:left w:val="nil"/>
              <w:bottom w:val="single" w:sz="4" w:space="0" w:color="auto"/>
              <w:right w:val="single" w:sz="4" w:space="0" w:color="auto"/>
            </w:tcBorders>
            <w:shd w:val="clear" w:color="auto" w:fill="auto"/>
            <w:noWrap/>
            <w:vAlign w:val="bottom"/>
            <w:hideMark/>
          </w:tcPr>
          <w:p w14:paraId="73A5A661"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MHz</w:t>
            </w:r>
          </w:p>
        </w:tc>
        <w:tc>
          <w:tcPr>
            <w:tcW w:w="718" w:type="dxa"/>
            <w:tcBorders>
              <w:top w:val="nil"/>
              <w:left w:val="nil"/>
              <w:bottom w:val="single" w:sz="4" w:space="0" w:color="auto"/>
              <w:right w:val="single" w:sz="4" w:space="0" w:color="auto"/>
            </w:tcBorders>
            <w:shd w:val="clear" w:color="auto" w:fill="auto"/>
            <w:noWrap/>
            <w:vAlign w:val="bottom"/>
            <w:hideMark/>
          </w:tcPr>
          <w:p w14:paraId="34ECBA5F"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696.8</w:t>
            </w:r>
          </w:p>
        </w:tc>
        <w:tc>
          <w:tcPr>
            <w:tcW w:w="718" w:type="dxa"/>
            <w:tcBorders>
              <w:top w:val="nil"/>
              <w:left w:val="nil"/>
              <w:bottom w:val="single" w:sz="4" w:space="0" w:color="auto"/>
              <w:right w:val="single" w:sz="4" w:space="0" w:color="auto"/>
            </w:tcBorders>
            <w:shd w:val="clear" w:color="auto" w:fill="auto"/>
            <w:noWrap/>
            <w:vAlign w:val="bottom"/>
            <w:hideMark/>
          </w:tcPr>
          <w:p w14:paraId="78B68DF9"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691.9</w:t>
            </w:r>
          </w:p>
        </w:tc>
        <w:tc>
          <w:tcPr>
            <w:tcW w:w="718" w:type="dxa"/>
            <w:tcBorders>
              <w:top w:val="nil"/>
              <w:left w:val="nil"/>
              <w:bottom w:val="single" w:sz="4" w:space="0" w:color="auto"/>
              <w:right w:val="single" w:sz="4" w:space="0" w:color="auto"/>
            </w:tcBorders>
            <w:shd w:val="clear" w:color="auto" w:fill="auto"/>
            <w:noWrap/>
            <w:vAlign w:val="bottom"/>
            <w:hideMark/>
          </w:tcPr>
          <w:p w14:paraId="0E7183E5"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687.0</w:t>
            </w:r>
          </w:p>
        </w:tc>
        <w:tc>
          <w:tcPr>
            <w:tcW w:w="718" w:type="dxa"/>
            <w:tcBorders>
              <w:top w:val="nil"/>
              <w:left w:val="nil"/>
              <w:bottom w:val="single" w:sz="4" w:space="0" w:color="auto"/>
              <w:right w:val="single" w:sz="4" w:space="0" w:color="auto"/>
            </w:tcBorders>
            <w:shd w:val="clear" w:color="auto" w:fill="auto"/>
            <w:noWrap/>
            <w:vAlign w:val="bottom"/>
            <w:hideMark/>
          </w:tcPr>
          <w:p w14:paraId="33DD942D"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682.1</w:t>
            </w:r>
          </w:p>
        </w:tc>
        <w:tc>
          <w:tcPr>
            <w:tcW w:w="718" w:type="dxa"/>
            <w:tcBorders>
              <w:top w:val="nil"/>
              <w:left w:val="nil"/>
              <w:bottom w:val="single" w:sz="4" w:space="0" w:color="auto"/>
              <w:right w:val="single" w:sz="4" w:space="0" w:color="auto"/>
            </w:tcBorders>
            <w:shd w:val="clear" w:color="auto" w:fill="auto"/>
            <w:noWrap/>
            <w:vAlign w:val="bottom"/>
            <w:hideMark/>
          </w:tcPr>
          <w:p w14:paraId="568A4DB9"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679.6</w:t>
            </w:r>
          </w:p>
        </w:tc>
        <w:tc>
          <w:tcPr>
            <w:tcW w:w="718" w:type="dxa"/>
            <w:tcBorders>
              <w:top w:val="nil"/>
              <w:left w:val="nil"/>
              <w:bottom w:val="single" w:sz="4" w:space="0" w:color="auto"/>
              <w:right w:val="single" w:sz="4" w:space="0" w:color="auto"/>
            </w:tcBorders>
            <w:shd w:val="clear" w:color="auto" w:fill="auto"/>
            <w:noWrap/>
            <w:vAlign w:val="bottom"/>
            <w:hideMark/>
          </w:tcPr>
          <w:p w14:paraId="12D4A813"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677.1</w:t>
            </w:r>
          </w:p>
        </w:tc>
        <w:tc>
          <w:tcPr>
            <w:tcW w:w="718" w:type="dxa"/>
            <w:tcBorders>
              <w:top w:val="nil"/>
              <w:left w:val="nil"/>
              <w:bottom w:val="single" w:sz="4" w:space="0" w:color="auto"/>
              <w:right w:val="single" w:sz="4" w:space="0" w:color="auto"/>
            </w:tcBorders>
            <w:shd w:val="clear" w:color="auto" w:fill="auto"/>
            <w:noWrap/>
            <w:vAlign w:val="bottom"/>
            <w:hideMark/>
          </w:tcPr>
          <w:p w14:paraId="034089AB"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674.6</w:t>
            </w:r>
          </w:p>
        </w:tc>
      </w:tr>
      <w:tr w:rsidR="004B655F" w:rsidRPr="004B655F" w14:paraId="1E825C42" w14:textId="77777777" w:rsidTr="00B96CF1">
        <w:trPr>
          <w:trHeight w:val="53"/>
          <w:jc w:val="center"/>
        </w:trPr>
        <w:tc>
          <w:tcPr>
            <w:tcW w:w="1198" w:type="dxa"/>
            <w:vMerge w:val="restart"/>
            <w:tcBorders>
              <w:top w:val="nil"/>
              <w:left w:val="single" w:sz="4" w:space="0" w:color="auto"/>
              <w:bottom w:val="single" w:sz="4" w:space="0" w:color="auto"/>
              <w:right w:val="single" w:sz="4" w:space="0" w:color="auto"/>
            </w:tcBorders>
            <w:shd w:val="clear" w:color="auto" w:fill="auto"/>
            <w:hideMark/>
          </w:tcPr>
          <w:p w14:paraId="111E83AD"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n71 UL image</w:t>
            </w:r>
          </w:p>
        </w:tc>
        <w:tc>
          <w:tcPr>
            <w:tcW w:w="666" w:type="dxa"/>
            <w:tcBorders>
              <w:top w:val="nil"/>
              <w:left w:val="nil"/>
              <w:bottom w:val="single" w:sz="4" w:space="0" w:color="auto"/>
              <w:right w:val="single" w:sz="4" w:space="0" w:color="auto"/>
            </w:tcBorders>
            <w:shd w:val="clear" w:color="auto" w:fill="auto"/>
            <w:noWrap/>
            <w:vAlign w:val="bottom"/>
            <w:hideMark/>
          </w:tcPr>
          <w:p w14:paraId="5AAE3380"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Flow</w:t>
            </w:r>
          </w:p>
        </w:tc>
        <w:tc>
          <w:tcPr>
            <w:tcW w:w="554" w:type="dxa"/>
            <w:tcBorders>
              <w:top w:val="nil"/>
              <w:left w:val="nil"/>
              <w:bottom w:val="single" w:sz="4" w:space="0" w:color="auto"/>
              <w:right w:val="single" w:sz="4" w:space="0" w:color="auto"/>
            </w:tcBorders>
            <w:shd w:val="clear" w:color="auto" w:fill="auto"/>
            <w:noWrap/>
            <w:vAlign w:val="bottom"/>
            <w:hideMark/>
          </w:tcPr>
          <w:p w14:paraId="67FAA36B"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MHz</w:t>
            </w:r>
          </w:p>
        </w:tc>
        <w:tc>
          <w:tcPr>
            <w:tcW w:w="718" w:type="dxa"/>
            <w:tcBorders>
              <w:top w:val="nil"/>
              <w:left w:val="nil"/>
              <w:bottom w:val="single" w:sz="4" w:space="0" w:color="auto"/>
              <w:right w:val="single" w:sz="4" w:space="0" w:color="auto"/>
            </w:tcBorders>
            <w:shd w:val="clear" w:color="auto" w:fill="auto"/>
            <w:noWrap/>
            <w:vAlign w:val="bottom"/>
            <w:hideMark/>
          </w:tcPr>
          <w:p w14:paraId="155C2B9F"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694.2</w:t>
            </w:r>
          </w:p>
        </w:tc>
        <w:tc>
          <w:tcPr>
            <w:tcW w:w="718" w:type="dxa"/>
            <w:tcBorders>
              <w:top w:val="nil"/>
              <w:left w:val="nil"/>
              <w:bottom w:val="single" w:sz="4" w:space="0" w:color="auto"/>
              <w:right w:val="single" w:sz="4" w:space="0" w:color="auto"/>
            </w:tcBorders>
            <w:shd w:val="clear" w:color="auto" w:fill="auto"/>
            <w:noWrap/>
            <w:vAlign w:val="bottom"/>
            <w:hideMark/>
          </w:tcPr>
          <w:p w14:paraId="0C022DE2"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694.1</w:t>
            </w:r>
          </w:p>
        </w:tc>
        <w:tc>
          <w:tcPr>
            <w:tcW w:w="718" w:type="dxa"/>
            <w:tcBorders>
              <w:top w:val="nil"/>
              <w:left w:val="nil"/>
              <w:bottom w:val="single" w:sz="4" w:space="0" w:color="auto"/>
              <w:right w:val="single" w:sz="4" w:space="0" w:color="auto"/>
            </w:tcBorders>
            <w:shd w:val="clear" w:color="auto" w:fill="auto"/>
            <w:noWrap/>
            <w:vAlign w:val="bottom"/>
            <w:hideMark/>
          </w:tcPr>
          <w:p w14:paraId="4AA6F6A4"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694.0</w:t>
            </w:r>
          </w:p>
        </w:tc>
        <w:tc>
          <w:tcPr>
            <w:tcW w:w="718" w:type="dxa"/>
            <w:tcBorders>
              <w:top w:val="nil"/>
              <w:left w:val="nil"/>
              <w:bottom w:val="single" w:sz="4" w:space="0" w:color="auto"/>
              <w:right w:val="single" w:sz="4" w:space="0" w:color="auto"/>
            </w:tcBorders>
            <w:shd w:val="clear" w:color="auto" w:fill="auto"/>
            <w:noWrap/>
            <w:vAlign w:val="bottom"/>
            <w:hideMark/>
          </w:tcPr>
          <w:p w14:paraId="0250CC9F"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693.9</w:t>
            </w:r>
          </w:p>
        </w:tc>
        <w:tc>
          <w:tcPr>
            <w:tcW w:w="718" w:type="dxa"/>
            <w:tcBorders>
              <w:top w:val="nil"/>
              <w:left w:val="nil"/>
              <w:bottom w:val="single" w:sz="4" w:space="0" w:color="auto"/>
              <w:right w:val="single" w:sz="4" w:space="0" w:color="auto"/>
            </w:tcBorders>
            <w:shd w:val="clear" w:color="auto" w:fill="auto"/>
            <w:noWrap/>
            <w:vAlign w:val="bottom"/>
            <w:hideMark/>
          </w:tcPr>
          <w:p w14:paraId="70C69779"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691.4</w:t>
            </w:r>
          </w:p>
        </w:tc>
        <w:tc>
          <w:tcPr>
            <w:tcW w:w="718" w:type="dxa"/>
            <w:tcBorders>
              <w:top w:val="nil"/>
              <w:left w:val="nil"/>
              <w:bottom w:val="single" w:sz="4" w:space="0" w:color="auto"/>
              <w:right w:val="single" w:sz="4" w:space="0" w:color="auto"/>
            </w:tcBorders>
            <w:shd w:val="clear" w:color="auto" w:fill="auto"/>
            <w:noWrap/>
            <w:vAlign w:val="bottom"/>
            <w:hideMark/>
          </w:tcPr>
          <w:p w14:paraId="0DADE124"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688.9</w:t>
            </w:r>
          </w:p>
        </w:tc>
        <w:tc>
          <w:tcPr>
            <w:tcW w:w="718" w:type="dxa"/>
            <w:tcBorders>
              <w:top w:val="nil"/>
              <w:left w:val="nil"/>
              <w:bottom w:val="single" w:sz="4" w:space="0" w:color="auto"/>
              <w:right w:val="single" w:sz="4" w:space="0" w:color="auto"/>
            </w:tcBorders>
            <w:shd w:val="clear" w:color="auto" w:fill="auto"/>
            <w:noWrap/>
            <w:vAlign w:val="bottom"/>
            <w:hideMark/>
          </w:tcPr>
          <w:p w14:paraId="62A2E6EF"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686.4</w:t>
            </w:r>
          </w:p>
        </w:tc>
      </w:tr>
      <w:tr w:rsidR="004B655F" w:rsidRPr="004B655F" w14:paraId="56713AEF" w14:textId="77777777" w:rsidTr="00B96CF1">
        <w:trPr>
          <w:trHeight w:val="53"/>
          <w:jc w:val="center"/>
        </w:trPr>
        <w:tc>
          <w:tcPr>
            <w:tcW w:w="1198" w:type="dxa"/>
            <w:vMerge/>
            <w:tcBorders>
              <w:top w:val="nil"/>
              <w:left w:val="single" w:sz="4" w:space="0" w:color="auto"/>
              <w:bottom w:val="single" w:sz="4" w:space="0" w:color="auto"/>
              <w:right w:val="single" w:sz="4" w:space="0" w:color="auto"/>
            </w:tcBorders>
            <w:vAlign w:val="center"/>
            <w:hideMark/>
          </w:tcPr>
          <w:p w14:paraId="0A1A0601"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p>
        </w:tc>
        <w:tc>
          <w:tcPr>
            <w:tcW w:w="666" w:type="dxa"/>
            <w:tcBorders>
              <w:top w:val="nil"/>
              <w:left w:val="nil"/>
              <w:bottom w:val="single" w:sz="4" w:space="0" w:color="auto"/>
              <w:right w:val="single" w:sz="4" w:space="0" w:color="auto"/>
            </w:tcBorders>
            <w:shd w:val="clear" w:color="auto" w:fill="auto"/>
            <w:noWrap/>
            <w:vAlign w:val="bottom"/>
            <w:hideMark/>
          </w:tcPr>
          <w:p w14:paraId="2365066B"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Fhigh</w:t>
            </w:r>
          </w:p>
        </w:tc>
        <w:tc>
          <w:tcPr>
            <w:tcW w:w="554" w:type="dxa"/>
            <w:tcBorders>
              <w:top w:val="nil"/>
              <w:left w:val="nil"/>
              <w:bottom w:val="single" w:sz="4" w:space="0" w:color="auto"/>
              <w:right w:val="single" w:sz="4" w:space="0" w:color="auto"/>
            </w:tcBorders>
            <w:shd w:val="clear" w:color="auto" w:fill="auto"/>
            <w:noWrap/>
            <w:vAlign w:val="bottom"/>
            <w:hideMark/>
          </w:tcPr>
          <w:p w14:paraId="75B3F73B"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MHz</w:t>
            </w:r>
          </w:p>
        </w:tc>
        <w:tc>
          <w:tcPr>
            <w:tcW w:w="718" w:type="dxa"/>
            <w:tcBorders>
              <w:top w:val="nil"/>
              <w:left w:val="nil"/>
              <w:bottom w:val="single" w:sz="4" w:space="0" w:color="auto"/>
              <w:right w:val="single" w:sz="4" w:space="0" w:color="auto"/>
            </w:tcBorders>
            <w:shd w:val="clear" w:color="auto" w:fill="auto"/>
            <w:noWrap/>
            <w:vAlign w:val="bottom"/>
            <w:hideMark/>
          </w:tcPr>
          <w:p w14:paraId="142093C3"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697.8</w:t>
            </w:r>
          </w:p>
        </w:tc>
        <w:tc>
          <w:tcPr>
            <w:tcW w:w="718" w:type="dxa"/>
            <w:tcBorders>
              <w:top w:val="nil"/>
              <w:left w:val="nil"/>
              <w:bottom w:val="single" w:sz="4" w:space="0" w:color="auto"/>
              <w:right w:val="single" w:sz="4" w:space="0" w:color="auto"/>
            </w:tcBorders>
            <w:shd w:val="clear" w:color="auto" w:fill="auto"/>
            <w:noWrap/>
            <w:vAlign w:val="bottom"/>
            <w:hideMark/>
          </w:tcPr>
          <w:p w14:paraId="40D16719"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697.7</w:t>
            </w:r>
          </w:p>
        </w:tc>
        <w:tc>
          <w:tcPr>
            <w:tcW w:w="718" w:type="dxa"/>
            <w:tcBorders>
              <w:top w:val="nil"/>
              <w:left w:val="nil"/>
              <w:bottom w:val="single" w:sz="4" w:space="0" w:color="auto"/>
              <w:right w:val="single" w:sz="4" w:space="0" w:color="auto"/>
            </w:tcBorders>
            <w:shd w:val="clear" w:color="auto" w:fill="auto"/>
            <w:noWrap/>
            <w:vAlign w:val="bottom"/>
            <w:hideMark/>
          </w:tcPr>
          <w:p w14:paraId="3C6CF9F5"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697.6</w:t>
            </w:r>
          </w:p>
        </w:tc>
        <w:tc>
          <w:tcPr>
            <w:tcW w:w="718" w:type="dxa"/>
            <w:tcBorders>
              <w:top w:val="nil"/>
              <w:left w:val="nil"/>
              <w:bottom w:val="single" w:sz="4" w:space="0" w:color="auto"/>
              <w:right w:val="single" w:sz="4" w:space="0" w:color="auto"/>
            </w:tcBorders>
            <w:shd w:val="clear" w:color="auto" w:fill="auto"/>
            <w:noWrap/>
            <w:vAlign w:val="bottom"/>
            <w:hideMark/>
          </w:tcPr>
          <w:p w14:paraId="3BBDF79B"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697.5</w:t>
            </w:r>
          </w:p>
        </w:tc>
        <w:tc>
          <w:tcPr>
            <w:tcW w:w="718" w:type="dxa"/>
            <w:tcBorders>
              <w:top w:val="nil"/>
              <w:left w:val="nil"/>
              <w:bottom w:val="single" w:sz="4" w:space="0" w:color="auto"/>
              <w:right w:val="single" w:sz="4" w:space="0" w:color="auto"/>
            </w:tcBorders>
            <w:shd w:val="clear" w:color="auto" w:fill="auto"/>
            <w:noWrap/>
            <w:vAlign w:val="bottom"/>
            <w:hideMark/>
          </w:tcPr>
          <w:p w14:paraId="01D0D9B7"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695.0</w:t>
            </w:r>
          </w:p>
        </w:tc>
        <w:tc>
          <w:tcPr>
            <w:tcW w:w="718" w:type="dxa"/>
            <w:tcBorders>
              <w:top w:val="nil"/>
              <w:left w:val="nil"/>
              <w:bottom w:val="single" w:sz="4" w:space="0" w:color="auto"/>
              <w:right w:val="single" w:sz="4" w:space="0" w:color="auto"/>
            </w:tcBorders>
            <w:shd w:val="clear" w:color="auto" w:fill="auto"/>
            <w:noWrap/>
            <w:vAlign w:val="bottom"/>
            <w:hideMark/>
          </w:tcPr>
          <w:p w14:paraId="443D043E"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692.5</w:t>
            </w:r>
          </w:p>
        </w:tc>
        <w:tc>
          <w:tcPr>
            <w:tcW w:w="718" w:type="dxa"/>
            <w:tcBorders>
              <w:top w:val="nil"/>
              <w:left w:val="nil"/>
              <w:bottom w:val="single" w:sz="4" w:space="0" w:color="auto"/>
              <w:right w:val="single" w:sz="4" w:space="0" w:color="auto"/>
            </w:tcBorders>
            <w:shd w:val="clear" w:color="auto" w:fill="auto"/>
            <w:noWrap/>
            <w:vAlign w:val="bottom"/>
            <w:hideMark/>
          </w:tcPr>
          <w:p w14:paraId="73D8924B"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690.0</w:t>
            </w:r>
          </w:p>
        </w:tc>
      </w:tr>
      <w:tr w:rsidR="004B655F" w:rsidRPr="004B655F" w14:paraId="4D0F5F57" w14:textId="77777777" w:rsidTr="001416E0">
        <w:trPr>
          <w:trHeight w:val="53"/>
          <w:jc w:val="center"/>
        </w:trPr>
        <w:tc>
          <w:tcPr>
            <w:tcW w:w="2418"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14:paraId="50EECE0C"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lowest IMD order</w:t>
            </w:r>
          </w:p>
        </w:tc>
        <w:tc>
          <w:tcPr>
            <w:tcW w:w="718" w:type="dxa"/>
            <w:tcBorders>
              <w:top w:val="nil"/>
              <w:left w:val="nil"/>
              <w:bottom w:val="single" w:sz="4" w:space="0" w:color="auto"/>
              <w:right w:val="single" w:sz="4" w:space="0" w:color="auto"/>
            </w:tcBorders>
            <w:shd w:val="clear" w:color="auto" w:fill="auto"/>
            <w:noWrap/>
            <w:vAlign w:val="bottom"/>
            <w:hideMark/>
          </w:tcPr>
          <w:p w14:paraId="7463796C"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23</w:t>
            </w:r>
          </w:p>
        </w:tc>
        <w:tc>
          <w:tcPr>
            <w:tcW w:w="718" w:type="dxa"/>
            <w:tcBorders>
              <w:top w:val="nil"/>
              <w:left w:val="nil"/>
              <w:bottom w:val="single" w:sz="4" w:space="0" w:color="auto"/>
              <w:right w:val="single" w:sz="4" w:space="0" w:color="auto"/>
            </w:tcBorders>
            <w:shd w:val="clear" w:color="auto" w:fill="auto"/>
            <w:noWrap/>
            <w:vAlign w:val="bottom"/>
            <w:hideMark/>
          </w:tcPr>
          <w:p w14:paraId="273626FC"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11</w:t>
            </w:r>
          </w:p>
        </w:tc>
        <w:tc>
          <w:tcPr>
            <w:tcW w:w="718" w:type="dxa"/>
            <w:tcBorders>
              <w:top w:val="nil"/>
              <w:left w:val="nil"/>
              <w:bottom w:val="single" w:sz="4" w:space="0" w:color="auto"/>
              <w:right w:val="single" w:sz="4" w:space="0" w:color="auto"/>
            </w:tcBorders>
            <w:shd w:val="clear" w:color="auto" w:fill="auto"/>
            <w:noWrap/>
            <w:vAlign w:val="bottom"/>
            <w:hideMark/>
          </w:tcPr>
          <w:p w14:paraId="63826A09"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7</w:t>
            </w:r>
          </w:p>
        </w:tc>
        <w:tc>
          <w:tcPr>
            <w:tcW w:w="718" w:type="dxa"/>
            <w:tcBorders>
              <w:top w:val="nil"/>
              <w:left w:val="nil"/>
              <w:bottom w:val="single" w:sz="4" w:space="0" w:color="auto"/>
              <w:right w:val="single" w:sz="4" w:space="0" w:color="auto"/>
            </w:tcBorders>
            <w:shd w:val="clear" w:color="auto" w:fill="auto"/>
            <w:noWrap/>
            <w:vAlign w:val="bottom"/>
            <w:hideMark/>
          </w:tcPr>
          <w:p w14:paraId="1D2AC8F8"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5</w:t>
            </w:r>
          </w:p>
        </w:tc>
        <w:tc>
          <w:tcPr>
            <w:tcW w:w="718" w:type="dxa"/>
            <w:tcBorders>
              <w:top w:val="nil"/>
              <w:left w:val="nil"/>
              <w:bottom w:val="single" w:sz="4" w:space="0" w:color="auto"/>
              <w:right w:val="single" w:sz="4" w:space="0" w:color="auto"/>
            </w:tcBorders>
            <w:shd w:val="clear" w:color="auto" w:fill="auto"/>
            <w:noWrap/>
            <w:vAlign w:val="bottom"/>
            <w:hideMark/>
          </w:tcPr>
          <w:p w14:paraId="0D6C8293"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5</w:t>
            </w:r>
          </w:p>
        </w:tc>
        <w:tc>
          <w:tcPr>
            <w:tcW w:w="718" w:type="dxa"/>
            <w:tcBorders>
              <w:top w:val="nil"/>
              <w:left w:val="nil"/>
              <w:bottom w:val="single" w:sz="4" w:space="0" w:color="auto"/>
              <w:right w:val="single" w:sz="4" w:space="0" w:color="auto"/>
            </w:tcBorders>
            <w:shd w:val="clear" w:color="auto" w:fill="auto"/>
            <w:noWrap/>
            <w:vAlign w:val="bottom"/>
            <w:hideMark/>
          </w:tcPr>
          <w:p w14:paraId="16DA08E3"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5</w:t>
            </w:r>
          </w:p>
        </w:tc>
        <w:tc>
          <w:tcPr>
            <w:tcW w:w="718" w:type="dxa"/>
            <w:tcBorders>
              <w:top w:val="nil"/>
              <w:left w:val="nil"/>
              <w:bottom w:val="single" w:sz="4" w:space="0" w:color="auto"/>
              <w:right w:val="single" w:sz="4" w:space="0" w:color="auto"/>
            </w:tcBorders>
            <w:shd w:val="clear" w:color="auto" w:fill="auto"/>
            <w:noWrap/>
            <w:vAlign w:val="bottom"/>
            <w:hideMark/>
          </w:tcPr>
          <w:p w14:paraId="4593AAE1"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5</w:t>
            </w:r>
          </w:p>
        </w:tc>
      </w:tr>
      <w:tr w:rsidR="004B655F" w:rsidRPr="004B655F" w14:paraId="4B097CA5" w14:textId="77777777" w:rsidTr="00B96CF1">
        <w:trPr>
          <w:trHeight w:val="53"/>
          <w:jc w:val="center"/>
        </w:trPr>
        <w:tc>
          <w:tcPr>
            <w:tcW w:w="1198" w:type="dxa"/>
            <w:vMerge w:val="restart"/>
            <w:tcBorders>
              <w:top w:val="nil"/>
              <w:left w:val="single" w:sz="4" w:space="0" w:color="auto"/>
              <w:bottom w:val="single" w:sz="4" w:space="0" w:color="000000"/>
              <w:right w:val="single" w:sz="4" w:space="0" w:color="auto"/>
            </w:tcBorders>
            <w:shd w:val="clear" w:color="auto" w:fill="auto"/>
            <w:noWrap/>
            <w:hideMark/>
          </w:tcPr>
          <w:p w14:paraId="61C97222"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n71 IMD</w:t>
            </w:r>
          </w:p>
        </w:tc>
        <w:tc>
          <w:tcPr>
            <w:tcW w:w="666" w:type="dxa"/>
            <w:tcBorders>
              <w:top w:val="nil"/>
              <w:left w:val="nil"/>
              <w:bottom w:val="single" w:sz="4" w:space="0" w:color="auto"/>
              <w:right w:val="single" w:sz="4" w:space="0" w:color="auto"/>
            </w:tcBorders>
            <w:shd w:val="clear" w:color="auto" w:fill="auto"/>
            <w:noWrap/>
            <w:vAlign w:val="bottom"/>
            <w:hideMark/>
          </w:tcPr>
          <w:p w14:paraId="082C60EA"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Flow</w:t>
            </w:r>
          </w:p>
        </w:tc>
        <w:tc>
          <w:tcPr>
            <w:tcW w:w="554" w:type="dxa"/>
            <w:tcBorders>
              <w:top w:val="nil"/>
              <w:left w:val="nil"/>
              <w:bottom w:val="single" w:sz="4" w:space="0" w:color="auto"/>
              <w:right w:val="single" w:sz="4" w:space="0" w:color="auto"/>
            </w:tcBorders>
            <w:shd w:val="clear" w:color="auto" w:fill="auto"/>
            <w:noWrap/>
            <w:vAlign w:val="bottom"/>
            <w:hideMark/>
          </w:tcPr>
          <w:p w14:paraId="298EAD54"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MHz</w:t>
            </w:r>
          </w:p>
        </w:tc>
        <w:tc>
          <w:tcPr>
            <w:tcW w:w="718" w:type="dxa"/>
            <w:tcBorders>
              <w:top w:val="nil"/>
              <w:left w:val="nil"/>
              <w:bottom w:val="single" w:sz="4" w:space="0" w:color="auto"/>
              <w:right w:val="single" w:sz="4" w:space="0" w:color="auto"/>
            </w:tcBorders>
            <w:shd w:val="clear" w:color="000000" w:fill="FF0000"/>
            <w:noWrap/>
            <w:vAlign w:val="bottom"/>
            <w:hideMark/>
          </w:tcPr>
          <w:p w14:paraId="619C2B75"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643.6</w:t>
            </w:r>
          </w:p>
        </w:tc>
        <w:tc>
          <w:tcPr>
            <w:tcW w:w="718" w:type="dxa"/>
            <w:tcBorders>
              <w:top w:val="nil"/>
              <w:left w:val="nil"/>
              <w:bottom w:val="single" w:sz="4" w:space="0" w:color="auto"/>
              <w:right w:val="single" w:sz="4" w:space="0" w:color="auto"/>
            </w:tcBorders>
            <w:shd w:val="clear" w:color="000000" w:fill="FF0000"/>
            <w:noWrap/>
            <w:vAlign w:val="bottom"/>
            <w:hideMark/>
          </w:tcPr>
          <w:p w14:paraId="3F3C0D55"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641.4</w:t>
            </w:r>
          </w:p>
        </w:tc>
        <w:tc>
          <w:tcPr>
            <w:tcW w:w="718" w:type="dxa"/>
            <w:tcBorders>
              <w:top w:val="nil"/>
              <w:left w:val="nil"/>
              <w:bottom w:val="single" w:sz="4" w:space="0" w:color="auto"/>
              <w:right w:val="single" w:sz="4" w:space="0" w:color="auto"/>
            </w:tcBorders>
            <w:shd w:val="clear" w:color="000000" w:fill="FFC000"/>
            <w:noWrap/>
            <w:vAlign w:val="bottom"/>
            <w:hideMark/>
          </w:tcPr>
          <w:p w14:paraId="7DD849F2"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640.7</w:t>
            </w:r>
          </w:p>
        </w:tc>
        <w:tc>
          <w:tcPr>
            <w:tcW w:w="718" w:type="dxa"/>
            <w:tcBorders>
              <w:top w:val="nil"/>
              <w:left w:val="nil"/>
              <w:bottom w:val="single" w:sz="4" w:space="0" w:color="auto"/>
              <w:right w:val="single" w:sz="4" w:space="0" w:color="auto"/>
            </w:tcBorders>
            <w:shd w:val="clear" w:color="000000" w:fill="FFC000"/>
            <w:noWrap/>
            <w:vAlign w:val="bottom"/>
            <w:hideMark/>
          </w:tcPr>
          <w:p w14:paraId="6D99C179"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640.3</w:t>
            </w:r>
          </w:p>
        </w:tc>
        <w:tc>
          <w:tcPr>
            <w:tcW w:w="718" w:type="dxa"/>
            <w:tcBorders>
              <w:top w:val="nil"/>
              <w:left w:val="nil"/>
              <w:bottom w:val="single" w:sz="4" w:space="0" w:color="auto"/>
              <w:right w:val="single" w:sz="4" w:space="0" w:color="auto"/>
            </w:tcBorders>
            <w:shd w:val="clear" w:color="000000" w:fill="FFC000"/>
            <w:noWrap/>
            <w:vAlign w:val="bottom"/>
            <w:hideMark/>
          </w:tcPr>
          <w:p w14:paraId="3EA022D6"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637.8</w:t>
            </w:r>
          </w:p>
        </w:tc>
        <w:tc>
          <w:tcPr>
            <w:tcW w:w="718" w:type="dxa"/>
            <w:tcBorders>
              <w:top w:val="nil"/>
              <w:left w:val="nil"/>
              <w:bottom w:val="single" w:sz="4" w:space="0" w:color="auto"/>
              <w:right w:val="single" w:sz="4" w:space="0" w:color="auto"/>
            </w:tcBorders>
            <w:shd w:val="clear" w:color="000000" w:fill="FFC000"/>
            <w:noWrap/>
            <w:vAlign w:val="bottom"/>
            <w:hideMark/>
          </w:tcPr>
          <w:p w14:paraId="20654A87"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635.3</w:t>
            </w:r>
          </w:p>
        </w:tc>
        <w:tc>
          <w:tcPr>
            <w:tcW w:w="718" w:type="dxa"/>
            <w:tcBorders>
              <w:top w:val="nil"/>
              <w:left w:val="nil"/>
              <w:bottom w:val="single" w:sz="4" w:space="0" w:color="auto"/>
              <w:right w:val="single" w:sz="4" w:space="0" w:color="auto"/>
            </w:tcBorders>
            <w:shd w:val="clear" w:color="000000" w:fill="FFC000"/>
            <w:noWrap/>
            <w:vAlign w:val="bottom"/>
            <w:hideMark/>
          </w:tcPr>
          <w:p w14:paraId="68E8EE43"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632.8</w:t>
            </w:r>
          </w:p>
        </w:tc>
      </w:tr>
      <w:tr w:rsidR="004B655F" w:rsidRPr="004B655F" w14:paraId="5A0083F1" w14:textId="77777777" w:rsidTr="00B96CF1">
        <w:trPr>
          <w:trHeight w:val="53"/>
          <w:jc w:val="center"/>
        </w:trPr>
        <w:tc>
          <w:tcPr>
            <w:tcW w:w="1198" w:type="dxa"/>
            <w:vMerge/>
            <w:tcBorders>
              <w:top w:val="nil"/>
              <w:left w:val="single" w:sz="4" w:space="0" w:color="auto"/>
              <w:bottom w:val="single" w:sz="4" w:space="0" w:color="000000"/>
              <w:right w:val="single" w:sz="4" w:space="0" w:color="auto"/>
            </w:tcBorders>
            <w:vAlign w:val="center"/>
            <w:hideMark/>
          </w:tcPr>
          <w:p w14:paraId="45FFACE5"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p>
        </w:tc>
        <w:tc>
          <w:tcPr>
            <w:tcW w:w="666" w:type="dxa"/>
            <w:tcBorders>
              <w:top w:val="nil"/>
              <w:left w:val="nil"/>
              <w:bottom w:val="single" w:sz="4" w:space="0" w:color="auto"/>
              <w:right w:val="single" w:sz="4" w:space="0" w:color="auto"/>
            </w:tcBorders>
            <w:shd w:val="clear" w:color="auto" w:fill="auto"/>
            <w:noWrap/>
            <w:vAlign w:val="bottom"/>
            <w:hideMark/>
          </w:tcPr>
          <w:p w14:paraId="7C9896B1"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Fhigh</w:t>
            </w:r>
          </w:p>
        </w:tc>
        <w:tc>
          <w:tcPr>
            <w:tcW w:w="554" w:type="dxa"/>
            <w:tcBorders>
              <w:top w:val="nil"/>
              <w:left w:val="nil"/>
              <w:bottom w:val="single" w:sz="4" w:space="0" w:color="auto"/>
              <w:right w:val="single" w:sz="4" w:space="0" w:color="auto"/>
            </w:tcBorders>
            <w:shd w:val="clear" w:color="auto" w:fill="auto"/>
            <w:noWrap/>
            <w:vAlign w:val="bottom"/>
            <w:hideMark/>
          </w:tcPr>
          <w:p w14:paraId="04DA0BC6"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MHz</w:t>
            </w:r>
          </w:p>
        </w:tc>
        <w:tc>
          <w:tcPr>
            <w:tcW w:w="718" w:type="dxa"/>
            <w:tcBorders>
              <w:top w:val="nil"/>
              <w:left w:val="nil"/>
              <w:bottom w:val="single" w:sz="4" w:space="0" w:color="auto"/>
              <w:right w:val="single" w:sz="4" w:space="0" w:color="auto"/>
            </w:tcBorders>
            <w:shd w:val="clear" w:color="000000" w:fill="FF0000"/>
            <w:noWrap/>
            <w:vAlign w:val="bottom"/>
            <w:hideMark/>
          </w:tcPr>
          <w:p w14:paraId="3C026DFE"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726.4</w:t>
            </w:r>
          </w:p>
        </w:tc>
        <w:tc>
          <w:tcPr>
            <w:tcW w:w="718" w:type="dxa"/>
            <w:tcBorders>
              <w:top w:val="nil"/>
              <w:left w:val="nil"/>
              <w:bottom w:val="single" w:sz="4" w:space="0" w:color="auto"/>
              <w:right w:val="single" w:sz="4" w:space="0" w:color="auto"/>
            </w:tcBorders>
            <w:shd w:val="clear" w:color="000000" w:fill="FF0000"/>
            <w:noWrap/>
            <w:vAlign w:val="bottom"/>
            <w:hideMark/>
          </w:tcPr>
          <w:p w14:paraId="4442728E"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681.0</w:t>
            </w:r>
          </w:p>
        </w:tc>
        <w:tc>
          <w:tcPr>
            <w:tcW w:w="718" w:type="dxa"/>
            <w:tcBorders>
              <w:top w:val="nil"/>
              <w:left w:val="nil"/>
              <w:bottom w:val="single" w:sz="4" w:space="0" w:color="auto"/>
              <w:right w:val="single" w:sz="4" w:space="0" w:color="auto"/>
            </w:tcBorders>
            <w:shd w:val="clear" w:color="000000" w:fill="FF0000"/>
            <w:noWrap/>
            <w:vAlign w:val="bottom"/>
            <w:hideMark/>
          </w:tcPr>
          <w:p w14:paraId="44317DCA"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665.9</w:t>
            </w:r>
          </w:p>
        </w:tc>
        <w:tc>
          <w:tcPr>
            <w:tcW w:w="718" w:type="dxa"/>
            <w:tcBorders>
              <w:top w:val="nil"/>
              <w:left w:val="nil"/>
              <w:bottom w:val="nil"/>
              <w:right w:val="single" w:sz="4" w:space="0" w:color="auto"/>
            </w:tcBorders>
            <w:shd w:val="clear" w:color="000000" w:fill="FF0000"/>
            <w:noWrap/>
            <w:vAlign w:val="bottom"/>
            <w:hideMark/>
          </w:tcPr>
          <w:p w14:paraId="39B37DCF"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658.3</w:t>
            </w:r>
          </w:p>
        </w:tc>
        <w:tc>
          <w:tcPr>
            <w:tcW w:w="718" w:type="dxa"/>
            <w:tcBorders>
              <w:top w:val="nil"/>
              <w:left w:val="nil"/>
              <w:bottom w:val="nil"/>
              <w:right w:val="single" w:sz="4" w:space="0" w:color="auto"/>
            </w:tcBorders>
            <w:shd w:val="clear" w:color="000000" w:fill="FF0000"/>
            <w:noWrap/>
            <w:vAlign w:val="bottom"/>
            <w:hideMark/>
          </w:tcPr>
          <w:p w14:paraId="35EE365B"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655.8</w:t>
            </w:r>
          </w:p>
        </w:tc>
        <w:tc>
          <w:tcPr>
            <w:tcW w:w="718" w:type="dxa"/>
            <w:tcBorders>
              <w:top w:val="nil"/>
              <w:left w:val="nil"/>
              <w:bottom w:val="single" w:sz="4" w:space="0" w:color="auto"/>
              <w:right w:val="single" w:sz="4" w:space="0" w:color="auto"/>
            </w:tcBorders>
            <w:shd w:val="clear" w:color="000000" w:fill="FF0000"/>
            <w:noWrap/>
            <w:vAlign w:val="bottom"/>
            <w:hideMark/>
          </w:tcPr>
          <w:p w14:paraId="0EA817D4"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653.3</w:t>
            </w:r>
          </w:p>
        </w:tc>
        <w:tc>
          <w:tcPr>
            <w:tcW w:w="718" w:type="dxa"/>
            <w:tcBorders>
              <w:top w:val="nil"/>
              <w:left w:val="nil"/>
              <w:bottom w:val="single" w:sz="4" w:space="0" w:color="auto"/>
              <w:right w:val="single" w:sz="4" w:space="0" w:color="auto"/>
            </w:tcBorders>
            <w:shd w:val="clear" w:color="000000" w:fill="FFC000"/>
            <w:noWrap/>
            <w:vAlign w:val="bottom"/>
            <w:hideMark/>
          </w:tcPr>
          <w:p w14:paraId="61A6E087"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650.8</w:t>
            </w:r>
          </w:p>
        </w:tc>
      </w:tr>
      <w:tr w:rsidR="004B655F" w:rsidRPr="004B655F" w14:paraId="3E0576C9" w14:textId="77777777" w:rsidTr="001416E0">
        <w:trPr>
          <w:trHeight w:val="43"/>
          <w:jc w:val="center"/>
        </w:trPr>
        <w:tc>
          <w:tcPr>
            <w:tcW w:w="1198" w:type="dxa"/>
            <w:vMerge/>
            <w:tcBorders>
              <w:top w:val="nil"/>
              <w:left w:val="single" w:sz="4" w:space="0" w:color="auto"/>
              <w:bottom w:val="single" w:sz="4" w:space="0" w:color="000000"/>
              <w:right w:val="single" w:sz="4" w:space="0" w:color="auto"/>
            </w:tcBorders>
            <w:vAlign w:val="center"/>
            <w:hideMark/>
          </w:tcPr>
          <w:p w14:paraId="60D299C7"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p>
        </w:tc>
        <w:tc>
          <w:tcPr>
            <w:tcW w:w="666" w:type="dxa"/>
            <w:tcBorders>
              <w:top w:val="nil"/>
              <w:left w:val="nil"/>
              <w:bottom w:val="single" w:sz="4" w:space="0" w:color="auto"/>
              <w:right w:val="single" w:sz="4" w:space="0" w:color="auto"/>
            </w:tcBorders>
            <w:shd w:val="clear" w:color="auto" w:fill="auto"/>
            <w:noWrap/>
            <w:vAlign w:val="bottom"/>
            <w:hideMark/>
          </w:tcPr>
          <w:p w14:paraId="0A625059"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OVL</w:t>
            </w:r>
          </w:p>
        </w:tc>
        <w:tc>
          <w:tcPr>
            <w:tcW w:w="554" w:type="dxa"/>
            <w:tcBorders>
              <w:top w:val="nil"/>
              <w:left w:val="nil"/>
              <w:bottom w:val="single" w:sz="4" w:space="0" w:color="auto"/>
              <w:right w:val="single" w:sz="4" w:space="0" w:color="auto"/>
            </w:tcBorders>
            <w:shd w:val="clear" w:color="auto" w:fill="auto"/>
            <w:noWrap/>
            <w:vAlign w:val="bottom"/>
            <w:hideMark/>
          </w:tcPr>
          <w:p w14:paraId="78B10CC4"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MHz</w:t>
            </w:r>
          </w:p>
        </w:tc>
        <w:tc>
          <w:tcPr>
            <w:tcW w:w="718" w:type="dxa"/>
            <w:tcBorders>
              <w:top w:val="nil"/>
              <w:left w:val="nil"/>
              <w:bottom w:val="single" w:sz="4" w:space="0" w:color="auto"/>
              <w:right w:val="nil"/>
            </w:tcBorders>
            <w:shd w:val="clear" w:color="000000" w:fill="00B050"/>
            <w:noWrap/>
            <w:vAlign w:val="bottom"/>
            <w:hideMark/>
          </w:tcPr>
          <w:p w14:paraId="3B43C260"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8.2</w:t>
            </w:r>
          </w:p>
        </w:tc>
        <w:tc>
          <w:tcPr>
            <w:tcW w:w="718" w:type="dxa"/>
            <w:tcBorders>
              <w:top w:val="nil"/>
              <w:left w:val="single" w:sz="4" w:space="0" w:color="auto"/>
              <w:bottom w:val="single" w:sz="4" w:space="0" w:color="auto"/>
              <w:right w:val="nil"/>
            </w:tcBorders>
            <w:shd w:val="clear" w:color="000000" w:fill="00B050"/>
            <w:noWrap/>
            <w:vAlign w:val="bottom"/>
            <w:hideMark/>
          </w:tcPr>
          <w:p w14:paraId="3184AA6D"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10.2</w:t>
            </w:r>
          </w:p>
        </w:tc>
        <w:tc>
          <w:tcPr>
            <w:tcW w:w="718" w:type="dxa"/>
            <w:tcBorders>
              <w:top w:val="nil"/>
              <w:left w:val="single" w:sz="4" w:space="0" w:color="auto"/>
              <w:bottom w:val="single" w:sz="4" w:space="0" w:color="auto"/>
              <w:right w:val="nil"/>
            </w:tcBorders>
            <w:shd w:val="clear" w:color="000000" w:fill="92D050"/>
            <w:noWrap/>
            <w:vAlign w:val="bottom"/>
            <w:hideMark/>
          </w:tcPr>
          <w:p w14:paraId="498AF15D"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10.9</w:t>
            </w:r>
          </w:p>
        </w:tc>
        <w:tc>
          <w:tcPr>
            <w:tcW w:w="718" w:type="dxa"/>
            <w:tcBorders>
              <w:top w:val="single" w:sz="8" w:space="0" w:color="auto"/>
              <w:left w:val="single" w:sz="8" w:space="0" w:color="auto"/>
              <w:bottom w:val="single" w:sz="8" w:space="0" w:color="auto"/>
              <w:right w:val="single" w:sz="4" w:space="0" w:color="auto"/>
            </w:tcBorders>
            <w:shd w:val="clear" w:color="000000" w:fill="FFC000"/>
            <w:noWrap/>
            <w:vAlign w:val="bottom"/>
            <w:hideMark/>
          </w:tcPr>
          <w:p w14:paraId="725A477C"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b/>
                <w:bCs/>
                <w:color w:val="000000"/>
                <w:sz w:val="18"/>
                <w:szCs w:val="18"/>
              </w:rPr>
            </w:pPr>
            <w:r w:rsidRPr="004B655F">
              <w:rPr>
                <w:rFonts w:asciiTheme="minorHAnsi" w:hAnsiTheme="minorHAnsi" w:cstheme="minorHAnsi"/>
                <w:b/>
                <w:bCs/>
                <w:color w:val="000000"/>
                <w:sz w:val="18"/>
                <w:szCs w:val="18"/>
              </w:rPr>
              <w:t>11.3</w:t>
            </w:r>
          </w:p>
        </w:tc>
        <w:tc>
          <w:tcPr>
            <w:tcW w:w="718" w:type="dxa"/>
            <w:tcBorders>
              <w:top w:val="single" w:sz="8" w:space="0" w:color="auto"/>
              <w:left w:val="nil"/>
              <w:bottom w:val="single" w:sz="8" w:space="0" w:color="auto"/>
              <w:right w:val="single" w:sz="8" w:space="0" w:color="auto"/>
            </w:tcBorders>
            <w:shd w:val="clear" w:color="000000" w:fill="FFC000"/>
            <w:noWrap/>
            <w:vAlign w:val="bottom"/>
            <w:hideMark/>
          </w:tcPr>
          <w:p w14:paraId="0C7563ED"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b/>
                <w:bCs/>
                <w:color w:val="000000"/>
                <w:sz w:val="18"/>
                <w:szCs w:val="18"/>
              </w:rPr>
            </w:pPr>
            <w:r w:rsidRPr="004B655F">
              <w:rPr>
                <w:rFonts w:asciiTheme="minorHAnsi" w:hAnsiTheme="minorHAnsi" w:cstheme="minorHAnsi"/>
                <w:b/>
                <w:bCs/>
                <w:color w:val="000000"/>
                <w:sz w:val="18"/>
                <w:szCs w:val="18"/>
              </w:rPr>
              <w:t>13.7</w:t>
            </w:r>
          </w:p>
        </w:tc>
        <w:tc>
          <w:tcPr>
            <w:tcW w:w="718" w:type="dxa"/>
            <w:tcBorders>
              <w:top w:val="nil"/>
              <w:left w:val="nil"/>
              <w:bottom w:val="single" w:sz="4" w:space="0" w:color="auto"/>
              <w:right w:val="single" w:sz="4" w:space="0" w:color="auto"/>
            </w:tcBorders>
            <w:shd w:val="clear" w:color="000000" w:fill="FFC000"/>
            <w:noWrap/>
            <w:vAlign w:val="bottom"/>
            <w:hideMark/>
          </w:tcPr>
          <w:p w14:paraId="0E872297"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b/>
                <w:bCs/>
                <w:color w:val="000000"/>
                <w:sz w:val="18"/>
                <w:szCs w:val="18"/>
              </w:rPr>
            </w:pPr>
            <w:r w:rsidRPr="004B655F">
              <w:rPr>
                <w:rFonts w:asciiTheme="minorHAnsi" w:hAnsiTheme="minorHAnsi" w:cstheme="minorHAnsi"/>
                <w:b/>
                <w:bCs/>
                <w:color w:val="000000"/>
                <w:sz w:val="18"/>
                <w:szCs w:val="18"/>
              </w:rPr>
              <w:t>16.1</w:t>
            </w:r>
          </w:p>
        </w:tc>
        <w:tc>
          <w:tcPr>
            <w:tcW w:w="718" w:type="dxa"/>
            <w:tcBorders>
              <w:top w:val="nil"/>
              <w:left w:val="nil"/>
              <w:bottom w:val="single" w:sz="4" w:space="0" w:color="auto"/>
              <w:right w:val="single" w:sz="4" w:space="0" w:color="auto"/>
            </w:tcBorders>
            <w:shd w:val="clear" w:color="000000" w:fill="FF0000"/>
            <w:noWrap/>
            <w:vAlign w:val="bottom"/>
            <w:hideMark/>
          </w:tcPr>
          <w:p w14:paraId="7146A3C3"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b/>
                <w:bCs/>
                <w:color w:val="000000"/>
                <w:sz w:val="18"/>
                <w:szCs w:val="18"/>
              </w:rPr>
            </w:pPr>
            <w:r w:rsidRPr="004B655F">
              <w:rPr>
                <w:rFonts w:asciiTheme="minorHAnsi" w:hAnsiTheme="minorHAnsi" w:cstheme="minorHAnsi"/>
                <w:b/>
                <w:bCs/>
                <w:color w:val="000000"/>
                <w:sz w:val="18"/>
                <w:szCs w:val="18"/>
              </w:rPr>
              <w:t>18.0</w:t>
            </w:r>
          </w:p>
        </w:tc>
      </w:tr>
      <w:tr w:rsidR="004B655F" w:rsidRPr="004B655F" w14:paraId="1D529581" w14:textId="77777777" w:rsidTr="00B96CF1">
        <w:trPr>
          <w:trHeight w:val="43"/>
          <w:jc w:val="center"/>
        </w:trPr>
        <w:tc>
          <w:tcPr>
            <w:tcW w:w="1198" w:type="dxa"/>
            <w:vMerge w:val="restart"/>
            <w:tcBorders>
              <w:top w:val="nil"/>
              <w:left w:val="single" w:sz="4" w:space="0" w:color="auto"/>
              <w:bottom w:val="single" w:sz="4" w:space="0" w:color="auto"/>
              <w:right w:val="single" w:sz="4" w:space="0" w:color="auto"/>
            </w:tcBorders>
            <w:shd w:val="clear" w:color="auto" w:fill="auto"/>
            <w:hideMark/>
          </w:tcPr>
          <w:p w14:paraId="72AADC1A"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n105UL TXBW</w:t>
            </w:r>
          </w:p>
        </w:tc>
        <w:tc>
          <w:tcPr>
            <w:tcW w:w="666" w:type="dxa"/>
            <w:tcBorders>
              <w:top w:val="nil"/>
              <w:left w:val="nil"/>
              <w:bottom w:val="single" w:sz="4" w:space="0" w:color="auto"/>
              <w:right w:val="single" w:sz="4" w:space="0" w:color="auto"/>
            </w:tcBorders>
            <w:shd w:val="clear" w:color="auto" w:fill="auto"/>
            <w:noWrap/>
            <w:vAlign w:val="bottom"/>
            <w:hideMark/>
          </w:tcPr>
          <w:p w14:paraId="1FCABE8B"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Flow</w:t>
            </w:r>
          </w:p>
        </w:tc>
        <w:tc>
          <w:tcPr>
            <w:tcW w:w="554" w:type="dxa"/>
            <w:tcBorders>
              <w:top w:val="nil"/>
              <w:left w:val="nil"/>
              <w:bottom w:val="single" w:sz="4" w:space="0" w:color="auto"/>
              <w:right w:val="single" w:sz="4" w:space="0" w:color="auto"/>
            </w:tcBorders>
            <w:shd w:val="clear" w:color="auto" w:fill="auto"/>
            <w:noWrap/>
            <w:vAlign w:val="bottom"/>
            <w:hideMark/>
          </w:tcPr>
          <w:p w14:paraId="3FFC9FF4"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MHz</w:t>
            </w:r>
          </w:p>
        </w:tc>
        <w:tc>
          <w:tcPr>
            <w:tcW w:w="718" w:type="dxa"/>
            <w:tcBorders>
              <w:top w:val="nil"/>
              <w:left w:val="nil"/>
              <w:bottom w:val="single" w:sz="4" w:space="0" w:color="auto"/>
              <w:right w:val="single" w:sz="4" w:space="0" w:color="auto"/>
            </w:tcBorders>
            <w:shd w:val="clear" w:color="auto" w:fill="auto"/>
            <w:noWrap/>
            <w:vAlign w:val="bottom"/>
            <w:hideMark/>
          </w:tcPr>
          <w:p w14:paraId="59913C17"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698.2</w:t>
            </w:r>
          </w:p>
        </w:tc>
        <w:tc>
          <w:tcPr>
            <w:tcW w:w="718" w:type="dxa"/>
            <w:tcBorders>
              <w:top w:val="nil"/>
              <w:left w:val="nil"/>
              <w:bottom w:val="single" w:sz="4" w:space="0" w:color="auto"/>
              <w:right w:val="single" w:sz="4" w:space="0" w:color="auto"/>
            </w:tcBorders>
            <w:shd w:val="clear" w:color="auto" w:fill="auto"/>
            <w:noWrap/>
            <w:vAlign w:val="bottom"/>
            <w:hideMark/>
          </w:tcPr>
          <w:p w14:paraId="33BB2023"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693.3</w:t>
            </w:r>
          </w:p>
        </w:tc>
        <w:tc>
          <w:tcPr>
            <w:tcW w:w="718" w:type="dxa"/>
            <w:tcBorders>
              <w:top w:val="nil"/>
              <w:left w:val="nil"/>
              <w:bottom w:val="single" w:sz="4" w:space="0" w:color="auto"/>
              <w:right w:val="single" w:sz="4" w:space="0" w:color="auto"/>
            </w:tcBorders>
            <w:shd w:val="clear" w:color="auto" w:fill="auto"/>
            <w:noWrap/>
            <w:vAlign w:val="bottom"/>
            <w:hideMark/>
          </w:tcPr>
          <w:p w14:paraId="2CCCBA21"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688.4</w:t>
            </w:r>
          </w:p>
        </w:tc>
        <w:tc>
          <w:tcPr>
            <w:tcW w:w="718" w:type="dxa"/>
            <w:tcBorders>
              <w:top w:val="nil"/>
              <w:left w:val="nil"/>
              <w:bottom w:val="single" w:sz="4" w:space="0" w:color="auto"/>
              <w:right w:val="single" w:sz="4" w:space="0" w:color="auto"/>
            </w:tcBorders>
            <w:shd w:val="clear" w:color="auto" w:fill="auto"/>
            <w:noWrap/>
            <w:vAlign w:val="bottom"/>
            <w:hideMark/>
          </w:tcPr>
          <w:p w14:paraId="450D4E8B"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683.5</w:t>
            </w:r>
          </w:p>
        </w:tc>
        <w:tc>
          <w:tcPr>
            <w:tcW w:w="718" w:type="dxa"/>
            <w:tcBorders>
              <w:top w:val="nil"/>
              <w:left w:val="nil"/>
              <w:bottom w:val="single" w:sz="4" w:space="0" w:color="auto"/>
              <w:right w:val="single" w:sz="4" w:space="0" w:color="auto"/>
            </w:tcBorders>
            <w:shd w:val="clear" w:color="auto" w:fill="auto"/>
            <w:noWrap/>
            <w:vAlign w:val="bottom"/>
            <w:hideMark/>
          </w:tcPr>
          <w:p w14:paraId="2A8AFA12"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681.0</w:t>
            </w:r>
          </w:p>
        </w:tc>
        <w:tc>
          <w:tcPr>
            <w:tcW w:w="718" w:type="dxa"/>
            <w:tcBorders>
              <w:top w:val="nil"/>
              <w:left w:val="nil"/>
              <w:bottom w:val="single" w:sz="4" w:space="0" w:color="auto"/>
              <w:right w:val="single" w:sz="4" w:space="0" w:color="auto"/>
            </w:tcBorders>
            <w:shd w:val="clear" w:color="auto" w:fill="auto"/>
            <w:noWrap/>
            <w:vAlign w:val="bottom"/>
            <w:hideMark/>
          </w:tcPr>
          <w:p w14:paraId="30A85AA2"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678.5</w:t>
            </w:r>
          </w:p>
        </w:tc>
        <w:tc>
          <w:tcPr>
            <w:tcW w:w="718" w:type="dxa"/>
            <w:tcBorders>
              <w:top w:val="nil"/>
              <w:left w:val="nil"/>
              <w:bottom w:val="single" w:sz="4" w:space="0" w:color="auto"/>
              <w:right w:val="single" w:sz="4" w:space="0" w:color="auto"/>
            </w:tcBorders>
            <w:shd w:val="clear" w:color="auto" w:fill="auto"/>
            <w:noWrap/>
            <w:vAlign w:val="bottom"/>
            <w:hideMark/>
          </w:tcPr>
          <w:p w14:paraId="45A9C760"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676.0</w:t>
            </w:r>
          </w:p>
        </w:tc>
      </w:tr>
      <w:tr w:rsidR="004B655F" w:rsidRPr="004B655F" w14:paraId="2D604E76" w14:textId="77777777" w:rsidTr="00B96CF1">
        <w:trPr>
          <w:trHeight w:val="53"/>
          <w:jc w:val="center"/>
        </w:trPr>
        <w:tc>
          <w:tcPr>
            <w:tcW w:w="1198" w:type="dxa"/>
            <w:vMerge/>
            <w:tcBorders>
              <w:top w:val="nil"/>
              <w:left w:val="single" w:sz="4" w:space="0" w:color="auto"/>
              <w:bottom w:val="single" w:sz="4" w:space="0" w:color="auto"/>
              <w:right w:val="single" w:sz="4" w:space="0" w:color="auto"/>
            </w:tcBorders>
            <w:vAlign w:val="center"/>
            <w:hideMark/>
          </w:tcPr>
          <w:p w14:paraId="043E315C"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p>
        </w:tc>
        <w:tc>
          <w:tcPr>
            <w:tcW w:w="666" w:type="dxa"/>
            <w:tcBorders>
              <w:top w:val="nil"/>
              <w:left w:val="nil"/>
              <w:bottom w:val="single" w:sz="4" w:space="0" w:color="auto"/>
              <w:right w:val="single" w:sz="4" w:space="0" w:color="auto"/>
            </w:tcBorders>
            <w:shd w:val="clear" w:color="auto" w:fill="auto"/>
            <w:noWrap/>
            <w:vAlign w:val="bottom"/>
            <w:hideMark/>
          </w:tcPr>
          <w:p w14:paraId="60F85270"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Fhigh</w:t>
            </w:r>
          </w:p>
        </w:tc>
        <w:tc>
          <w:tcPr>
            <w:tcW w:w="554" w:type="dxa"/>
            <w:tcBorders>
              <w:top w:val="nil"/>
              <w:left w:val="nil"/>
              <w:bottom w:val="single" w:sz="4" w:space="0" w:color="auto"/>
              <w:right w:val="single" w:sz="4" w:space="0" w:color="auto"/>
            </w:tcBorders>
            <w:shd w:val="clear" w:color="auto" w:fill="auto"/>
            <w:noWrap/>
            <w:vAlign w:val="bottom"/>
            <w:hideMark/>
          </w:tcPr>
          <w:p w14:paraId="317F7F7C"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MHz</w:t>
            </w:r>
          </w:p>
        </w:tc>
        <w:tc>
          <w:tcPr>
            <w:tcW w:w="718" w:type="dxa"/>
            <w:tcBorders>
              <w:top w:val="nil"/>
              <w:left w:val="nil"/>
              <w:bottom w:val="single" w:sz="4" w:space="0" w:color="auto"/>
              <w:right w:val="single" w:sz="4" w:space="0" w:color="auto"/>
            </w:tcBorders>
            <w:shd w:val="clear" w:color="auto" w:fill="auto"/>
            <w:noWrap/>
            <w:vAlign w:val="bottom"/>
            <w:hideMark/>
          </w:tcPr>
          <w:p w14:paraId="034A8800"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701.8</w:t>
            </w:r>
          </w:p>
        </w:tc>
        <w:tc>
          <w:tcPr>
            <w:tcW w:w="718" w:type="dxa"/>
            <w:tcBorders>
              <w:top w:val="nil"/>
              <w:left w:val="nil"/>
              <w:bottom w:val="single" w:sz="4" w:space="0" w:color="auto"/>
              <w:right w:val="single" w:sz="4" w:space="0" w:color="auto"/>
            </w:tcBorders>
            <w:shd w:val="clear" w:color="auto" w:fill="auto"/>
            <w:noWrap/>
            <w:vAlign w:val="bottom"/>
            <w:hideMark/>
          </w:tcPr>
          <w:p w14:paraId="5D501435"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696.9</w:t>
            </w:r>
          </w:p>
        </w:tc>
        <w:tc>
          <w:tcPr>
            <w:tcW w:w="718" w:type="dxa"/>
            <w:tcBorders>
              <w:top w:val="nil"/>
              <w:left w:val="nil"/>
              <w:bottom w:val="single" w:sz="4" w:space="0" w:color="auto"/>
              <w:right w:val="single" w:sz="4" w:space="0" w:color="auto"/>
            </w:tcBorders>
            <w:shd w:val="clear" w:color="auto" w:fill="auto"/>
            <w:noWrap/>
            <w:vAlign w:val="bottom"/>
            <w:hideMark/>
          </w:tcPr>
          <w:p w14:paraId="6424158A"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692.0</w:t>
            </w:r>
          </w:p>
        </w:tc>
        <w:tc>
          <w:tcPr>
            <w:tcW w:w="718" w:type="dxa"/>
            <w:tcBorders>
              <w:top w:val="nil"/>
              <w:left w:val="nil"/>
              <w:bottom w:val="single" w:sz="4" w:space="0" w:color="auto"/>
              <w:right w:val="single" w:sz="4" w:space="0" w:color="auto"/>
            </w:tcBorders>
            <w:shd w:val="clear" w:color="auto" w:fill="auto"/>
            <w:noWrap/>
            <w:vAlign w:val="bottom"/>
            <w:hideMark/>
          </w:tcPr>
          <w:p w14:paraId="575B2945"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687.1</w:t>
            </w:r>
          </w:p>
        </w:tc>
        <w:tc>
          <w:tcPr>
            <w:tcW w:w="718" w:type="dxa"/>
            <w:tcBorders>
              <w:top w:val="nil"/>
              <w:left w:val="nil"/>
              <w:bottom w:val="single" w:sz="4" w:space="0" w:color="auto"/>
              <w:right w:val="single" w:sz="4" w:space="0" w:color="auto"/>
            </w:tcBorders>
            <w:shd w:val="clear" w:color="auto" w:fill="auto"/>
            <w:noWrap/>
            <w:vAlign w:val="bottom"/>
            <w:hideMark/>
          </w:tcPr>
          <w:p w14:paraId="5F4B299C"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684.6</w:t>
            </w:r>
          </w:p>
        </w:tc>
        <w:tc>
          <w:tcPr>
            <w:tcW w:w="718" w:type="dxa"/>
            <w:tcBorders>
              <w:top w:val="nil"/>
              <w:left w:val="nil"/>
              <w:bottom w:val="single" w:sz="4" w:space="0" w:color="auto"/>
              <w:right w:val="single" w:sz="4" w:space="0" w:color="auto"/>
            </w:tcBorders>
            <w:shd w:val="clear" w:color="auto" w:fill="auto"/>
            <w:noWrap/>
            <w:vAlign w:val="bottom"/>
            <w:hideMark/>
          </w:tcPr>
          <w:p w14:paraId="618834F0"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682.1</w:t>
            </w:r>
          </w:p>
        </w:tc>
        <w:tc>
          <w:tcPr>
            <w:tcW w:w="718" w:type="dxa"/>
            <w:tcBorders>
              <w:top w:val="nil"/>
              <w:left w:val="nil"/>
              <w:bottom w:val="single" w:sz="4" w:space="0" w:color="auto"/>
              <w:right w:val="single" w:sz="4" w:space="0" w:color="auto"/>
            </w:tcBorders>
            <w:shd w:val="clear" w:color="auto" w:fill="auto"/>
            <w:noWrap/>
            <w:vAlign w:val="bottom"/>
            <w:hideMark/>
          </w:tcPr>
          <w:p w14:paraId="4163D146"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679.6</w:t>
            </w:r>
          </w:p>
        </w:tc>
      </w:tr>
      <w:tr w:rsidR="004B655F" w:rsidRPr="004B655F" w14:paraId="01818AFF" w14:textId="77777777" w:rsidTr="00B96CF1">
        <w:trPr>
          <w:trHeight w:val="53"/>
          <w:jc w:val="center"/>
        </w:trPr>
        <w:tc>
          <w:tcPr>
            <w:tcW w:w="1198" w:type="dxa"/>
            <w:vMerge w:val="restart"/>
            <w:tcBorders>
              <w:top w:val="nil"/>
              <w:left w:val="single" w:sz="4" w:space="0" w:color="auto"/>
              <w:bottom w:val="single" w:sz="4" w:space="0" w:color="auto"/>
              <w:right w:val="single" w:sz="4" w:space="0" w:color="auto"/>
            </w:tcBorders>
            <w:shd w:val="clear" w:color="auto" w:fill="auto"/>
            <w:hideMark/>
          </w:tcPr>
          <w:p w14:paraId="62AECB26"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n105 UL image</w:t>
            </w:r>
          </w:p>
        </w:tc>
        <w:tc>
          <w:tcPr>
            <w:tcW w:w="666" w:type="dxa"/>
            <w:tcBorders>
              <w:top w:val="nil"/>
              <w:left w:val="nil"/>
              <w:bottom w:val="single" w:sz="4" w:space="0" w:color="auto"/>
              <w:right w:val="single" w:sz="4" w:space="0" w:color="auto"/>
            </w:tcBorders>
            <w:shd w:val="clear" w:color="auto" w:fill="auto"/>
            <w:noWrap/>
            <w:vAlign w:val="bottom"/>
            <w:hideMark/>
          </w:tcPr>
          <w:p w14:paraId="66B4592E"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Flow</w:t>
            </w:r>
          </w:p>
        </w:tc>
        <w:tc>
          <w:tcPr>
            <w:tcW w:w="554" w:type="dxa"/>
            <w:tcBorders>
              <w:top w:val="nil"/>
              <w:left w:val="nil"/>
              <w:bottom w:val="single" w:sz="4" w:space="0" w:color="auto"/>
              <w:right w:val="single" w:sz="4" w:space="0" w:color="auto"/>
            </w:tcBorders>
            <w:shd w:val="clear" w:color="auto" w:fill="auto"/>
            <w:noWrap/>
            <w:vAlign w:val="bottom"/>
            <w:hideMark/>
          </w:tcPr>
          <w:p w14:paraId="2FCE1486"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MHz</w:t>
            </w:r>
          </w:p>
        </w:tc>
        <w:tc>
          <w:tcPr>
            <w:tcW w:w="718" w:type="dxa"/>
            <w:tcBorders>
              <w:top w:val="nil"/>
              <w:left w:val="nil"/>
              <w:bottom w:val="single" w:sz="4" w:space="0" w:color="auto"/>
              <w:right w:val="single" w:sz="4" w:space="0" w:color="auto"/>
            </w:tcBorders>
            <w:shd w:val="clear" w:color="auto" w:fill="auto"/>
            <w:noWrap/>
            <w:vAlign w:val="bottom"/>
            <w:hideMark/>
          </w:tcPr>
          <w:p w14:paraId="0FF63837"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699.2</w:t>
            </w:r>
          </w:p>
        </w:tc>
        <w:tc>
          <w:tcPr>
            <w:tcW w:w="718" w:type="dxa"/>
            <w:tcBorders>
              <w:top w:val="nil"/>
              <w:left w:val="nil"/>
              <w:bottom w:val="single" w:sz="4" w:space="0" w:color="auto"/>
              <w:right w:val="single" w:sz="4" w:space="0" w:color="auto"/>
            </w:tcBorders>
            <w:shd w:val="clear" w:color="auto" w:fill="auto"/>
            <w:noWrap/>
            <w:vAlign w:val="bottom"/>
            <w:hideMark/>
          </w:tcPr>
          <w:p w14:paraId="73D76028"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699.1</w:t>
            </w:r>
          </w:p>
        </w:tc>
        <w:tc>
          <w:tcPr>
            <w:tcW w:w="718" w:type="dxa"/>
            <w:tcBorders>
              <w:top w:val="nil"/>
              <w:left w:val="nil"/>
              <w:bottom w:val="single" w:sz="4" w:space="0" w:color="auto"/>
              <w:right w:val="single" w:sz="4" w:space="0" w:color="auto"/>
            </w:tcBorders>
            <w:shd w:val="clear" w:color="auto" w:fill="auto"/>
            <w:noWrap/>
            <w:vAlign w:val="bottom"/>
            <w:hideMark/>
          </w:tcPr>
          <w:p w14:paraId="2890D7FE"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699.0</w:t>
            </w:r>
          </w:p>
        </w:tc>
        <w:tc>
          <w:tcPr>
            <w:tcW w:w="718" w:type="dxa"/>
            <w:tcBorders>
              <w:top w:val="nil"/>
              <w:left w:val="nil"/>
              <w:bottom w:val="single" w:sz="4" w:space="0" w:color="auto"/>
              <w:right w:val="single" w:sz="4" w:space="0" w:color="auto"/>
            </w:tcBorders>
            <w:shd w:val="clear" w:color="auto" w:fill="auto"/>
            <w:noWrap/>
            <w:vAlign w:val="bottom"/>
            <w:hideMark/>
          </w:tcPr>
          <w:p w14:paraId="57BAEFAF"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698.9</w:t>
            </w:r>
          </w:p>
        </w:tc>
        <w:tc>
          <w:tcPr>
            <w:tcW w:w="718" w:type="dxa"/>
            <w:tcBorders>
              <w:top w:val="nil"/>
              <w:left w:val="nil"/>
              <w:bottom w:val="single" w:sz="4" w:space="0" w:color="auto"/>
              <w:right w:val="single" w:sz="4" w:space="0" w:color="auto"/>
            </w:tcBorders>
            <w:shd w:val="clear" w:color="auto" w:fill="auto"/>
            <w:noWrap/>
            <w:vAlign w:val="bottom"/>
            <w:hideMark/>
          </w:tcPr>
          <w:p w14:paraId="3989E032"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696.4</w:t>
            </w:r>
          </w:p>
        </w:tc>
        <w:tc>
          <w:tcPr>
            <w:tcW w:w="718" w:type="dxa"/>
            <w:tcBorders>
              <w:top w:val="nil"/>
              <w:left w:val="nil"/>
              <w:bottom w:val="single" w:sz="4" w:space="0" w:color="auto"/>
              <w:right w:val="single" w:sz="4" w:space="0" w:color="auto"/>
            </w:tcBorders>
            <w:shd w:val="clear" w:color="auto" w:fill="auto"/>
            <w:noWrap/>
            <w:vAlign w:val="bottom"/>
            <w:hideMark/>
          </w:tcPr>
          <w:p w14:paraId="796AACE9"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693.9</w:t>
            </w:r>
          </w:p>
        </w:tc>
        <w:tc>
          <w:tcPr>
            <w:tcW w:w="718" w:type="dxa"/>
            <w:tcBorders>
              <w:top w:val="nil"/>
              <w:left w:val="nil"/>
              <w:bottom w:val="single" w:sz="4" w:space="0" w:color="auto"/>
              <w:right w:val="single" w:sz="4" w:space="0" w:color="auto"/>
            </w:tcBorders>
            <w:shd w:val="clear" w:color="auto" w:fill="auto"/>
            <w:noWrap/>
            <w:vAlign w:val="bottom"/>
            <w:hideMark/>
          </w:tcPr>
          <w:p w14:paraId="0C78632E"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691.4</w:t>
            </w:r>
          </w:p>
        </w:tc>
      </w:tr>
      <w:tr w:rsidR="004B655F" w:rsidRPr="004B655F" w14:paraId="37915154" w14:textId="77777777" w:rsidTr="00B96CF1">
        <w:trPr>
          <w:trHeight w:val="53"/>
          <w:jc w:val="center"/>
        </w:trPr>
        <w:tc>
          <w:tcPr>
            <w:tcW w:w="1198" w:type="dxa"/>
            <w:vMerge/>
            <w:tcBorders>
              <w:top w:val="nil"/>
              <w:left w:val="single" w:sz="4" w:space="0" w:color="auto"/>
              <w:bottom w:val="single" w:sz="4" w:space="0" w:color="auto"/>
              <w:right w:val="single" w:sz="4" w:space="0" w:color="auto"/>
            </w:tcBorders>
            <w:vAlign w:val="center"/>
            <w:hideMark/>
          </w:tcPr>
          <w:p w14:paraId="61BDFD5A"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p>
        </w:tc>
        <w:tc>
          <w:tcPr>
            <w:tcW w:w="666" w:type="dxa"/>
            <w:tcBorders>
              <w:top w:val="nil"/>
              <w:left w:val="nil"/>
              <w:bottom w:val="single" w:sz="4" w:space="0" w:color="auto"/>
              <w:right w:val="single" w:sz="4" w:space="0" w:color="auto"/>
            </w:tcBorders>
            <w:shd w:val="clear" w:color="auto" w:fill="auto"/>
            <w:noWrap/>
            <w:vAlign w:val="bottom"/>
            <w:hideMark/>
          </w:tcPr>
          <w:p w14:paraId="50AD3FAF"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Fhigh</w:t>
            </w:r>
          </w:p>
        </w:tc>
        <w:tc>
          <w:tcPr>
            <w:tcW w:w="554" w:type="dxa"/>
            <w:tcBorders>
              <w:top w:val="nil"/>
              <w:left w:val="nil"/>
              <w:bottom w:val="single" w:sz="4" w:space="0" w:color="auto"/>
              <w:right w:val="single" w:sz="4" w:space="0" w:color="auto"/>
            </w:tcBorders>
            <w:shd w:val="clear" w:color="auto" w:fill="auto"/>
            <w:noWrap/>
            <w:vAlign w:val="bottom"/>
            <w:hideMark/>
          </w:tcPr>
          <w:p w14:paraId="217107A6"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MHz</w:t>
            </w:r>
          </w:p>
        </w:tc>
        <w:tc>
          <w:tcPr>
            <w:tcW w:w="718" w:type="dxa"/>
            <w:tcBorders>
              <w:top w:val="nil"/>
              <w:left w:val="nil"/>
              <w:bottom w:val="single" w:sz="4" w:space="0" w:color="auto"/>
              <w:right w:val="single" w:sz="4" w:space="0" w:color="auto"/>
            </w:tcBorders>
            <w:shd w:val="clear" w:color="auto" w:fill="auto"/>
            <w:noWrap/>
            <w:vAlign w:val="bottom"/>
            <w:hideMark/>
          </w:tcPr>
          <w:p w14:paraId="083F3470"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702.8</w:t>
            </w:r>
          </w:p>
        </w:tc>
        <w:tc>
          <w:tcPr>
            <w:tcW w:w="718" w:type="dxa"/>
            <w:tcBorders>
              <w:top w:val="nil"/>
              <w:left w:val="nil"/>
              <w:bottom w:val="single" w:sz="4" w:space="0" w:color="auto"/>
              <w:right w:val="single" w:sz="4" w:space="0" w:color="auto"/>
            </w:tcBorders>
            <w:shd w:val="clear" w:color="auto" w:fill="auto"/>
            <w:noWrap/>
            <w:vAlign w:val="bottom"/>
            <w:hideMark/>
          </w:tcPr>
          <w:p w14:paraId="7BCB6AF3"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702.7</w:t>
            </w:r>
          </w:p>
        </w:tc>
        <w:tc>
          <w:tcPr>
            <w:tcW w:w="718" w:type="dxa"/>
            <w:tcBorders>
              <w:top w:val="nil"/>
              <w:left w:val="nil"/>
              <w:bottom w:val="single" w:sz="4" w:space="0" w:color="auto"/>
              <w:right w:val="single" w:sz="4" w:space="0" w:color="auto"/>
            </w:tcBorders>
            <w:shd w:val="clear" w:color="auto" w:fill="auto"/>
            <w:noWrap/>
            <w:vAlign w:val="bottom"/>
            <w:hideMark/>
          </w:tcPr>
          <w:p w14:paraId="45D2EA4F"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702.6</w:t>
            </w:r>
          </w:p>
        </w:tc>
        <w:tc>
          <w:tcPr>
            <w:tcW w:w="718" w:type="dxa"/>
            <w:tcBorders>
              <w:top w:val="nil"/>
              <w:left w:val="nil"/>
              <w:bottom w:val="single" w:sz="4" w:space="0" w:color="auto"/>
              <w:right w:val="single" w:sz="4" w:space="0" w:color="auto"/>
            </w:tcBorders>
            <w:shd w:val="clear" w:color="auto" w:fill="auto"/>
            <w:noWrap/>
            <w:vAlign w:val="bottom"/>
            <w:hideMark/>
          </w:tcPr>
          <w:p w14:paraId="4773A041"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702.5</w:t>
            </w:r>
          </w:p>
        </w:tc>
        <w:tc>
          <w:tcPr>
            <w:tcW w:w="718" w:type="dxa"/>
            <w:tcBorders>
              <w:top w:val="nil"/>
              <w:left w:val="nil"/>
              <w:bottom w:val="single" w:sz="4" w:space="0" w:color="auto"/>
              <w:right w:val="single" w:sz="4" w:space="0" w:color="auto"/>
            </w:tcBorders>
            <w:shd w:val="clear" w:color="auto" w:fill="auto"/>
            <w:noWrap/>
            <w:vAlign w:val="bottom"/>
            <w:hideMark/>
          </w:tcPr>
          <w:p w14:paraId="39D7C95C"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700.0</w:t>
            </w:r>
          </w:p>
        </w:tc>
        <w:tc>
          <w:tcPr>
            <w:tcW w:w="718" w:type="dxa"/>
            <w:tcBorders>
              <w:top w:val="nil"/>
              <w:left w:val="nil"/>
              <w:bottom w:val="single" w:sz="4" w:space="0" w:color="auto"/>
              <w:right w:val="single" w:sz="4" w:space="0" w:color="auto"/>
            </w:tcBorders>
            <w:shd w:val="clear" w:color="auto" w:fill="auto"/>
            <w:noWrap/>
            <w:vAlign w:val="bottom"/>
            <w:hideMark/>
          </w:tcPr>
          <w:p w14:paraId="2654AFE8"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697.5</w:t>
            </w:r>
          </w:p>
        </w:tc>
        <w:tc>
          <w:tcPr>
            <w:tcW w:w="718" w:type="dxa"/>
            <w:tcBorders>
              <w:top w:val="nil"/>
              <w:left w:val="nil"/>
              <w:bottom w:val="single" w:sz="4" w:space="0" w:color="auto"/>
              <w:right w:val="single" w:sz="4" w:space="0" w:color="auto"/>
            </w:tcBorders>
            <w:shd w:val="clear" w:color="auto" w:fill="auto"/>
            <w:noWrap/>
            <w:vAlign w:val="bottom"/>
            <w:hideMark/>
          </w:tcPr>
          <w:p w14:paraId="19ED16D3"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695.0</w:t>
            </w:r>
          </w:p>
        </w:tc>
      </w:tr>
      <w:tr w:rsidR="004B655F" w:rsidRPr="004B655F" w14:paraId="6636E032" w14:textId="77777777" w:rsidTr="00B96CF1">
        <w:trPr>
          <w:trHeight w:val="53"/>
          <w:jc w:val="center"/>
        </w:trPr>
        <w:tc>
          <w:tcPr>
            <w:tcW w:w="1198" w:type="dxa"/>
            <w:vMerge w:val="restart"/>
            <w:tcBorders>
              <w:top w:val="nil"/>
              <w:left w:val="single" w:sz="4" w:space="0" w:color="auto"/>
              <w:bottom w:val="single" w:sz="4" w:space="0" w:color="000000"/>
              <w:right w:val="single" w:sz="4" w:space="0" w:color="auto"/>
            </w:tcBorders>
            <w:shd w:val="clear" w:color="auto" w:fill="auto"/>
            <w:hideMark/>
          </w:tcPr>
          <w:p w14:paraId="5CE9D197"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n105 IMD</w:t>
            </w:r>
          </w:p>
        </w:tc>
        <w:tc>
          <w:tcPr>
            <w:tcW w:w="666" w:type="dxa"/>
            <w:tcBorders>
              <w:top w:val="nil"/>
              <w:left w:val="nil"/>
              <w:bottom w:val="single" w:sz="4" w:space="0" w:color="auto"/>
              <w:right w:val="single" w:sz="4" w:space="0" w:color="auto"/>
            </w:tcBorders>
            <w:shd w:val="clear" w:color="auto" w:fill="auto"/>
            <w:noWrap/>
            <w:vAlign w:val="bottom"/>
            <w:hideMark/>
          </w:tcPr>
          <w:p w14:paraId="111A720A"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Flow</w:t>
            </w:r>
          </w:p>
        </w:tc>
        <w:tc>
          <w:tcPr>
            <w:tcW w:w="554" w:type="dxa"/>
            <w:tcBorders>
              <w:top w:val="nil"/>
              <w:left w:val="nil"/>
              <w:bottom w:val="single" w:sz="4" w:space="0" w:color="auto"/>
              <w:right w:val="single" w:sz="4" w:space="0" w:color="auto"/>
            </w:tcBorders>
            <w:shd w:val="clear" w:color="auto" w:fill="auto"/>
            <w:noWrap/>
            <w:vAlign w:val="bottom"/>
            <w:hideMark/>
          </w:tcPr>
          <w:p w14:paraId="3E95977D"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MHz</w:t>
            </w:r>
          </w:p>
        </w:tc>
        <w:tc>
          <w:tcPr>
            <w:tcW w:w="718" w:type="dxa"/>
            <w:tcBorders>
              <w:top w:val="nil"/>
              <w:left w:val="nil"/>
              <w:bottom w:val="single" w:sz="4" w:space="0" w:color="auto"/>
              <w:right w:val="single" w:sz="4" w:space="0" w:color="auto"/>
            </w:tcBorders>
            <w:shd w:val="clear" w:color="000000" w:fill="FFC000"/>
            <w:noWrap/>
            <w:vAlign w:val="bottom"/>
            <w:hideMark/>
          </w:tcPr>
          <w:p w14:paraId="0BE1768C"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648.6</w:t>
            </w:r>
          </w:p>
        </w:tc>
        <w:tc>
          <w:tcPr>
            <w:tcW w:w="718" w:type="dxa"/>
            <w:tcBorders>
              <w:top w:val="nil"/>
              <w:left w:val="nil"/>
              <w:bottom w:val="single" w:sz="4" w:space="0" w:color="auto"/>
              <w:right w:val="single" w:sz="4" w:space="0" w:color="auto"/>
            </w:tcBorders>
            <w:shd w:val="clear" w:color="000000" w:fill="FFC000"/>
            <w:noWrap/>
            <w:vAlign w:val="bottom"/>
            <w:hideMark/>
          </w:tcPr>
          <w:p w14:paraId="638D8E0E"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646.4</w:t>
            </w:r>
          </w:p>
        </w:tc>
        <w:tc>
          <w:tcPr>
            <w:tcW w:w="718" w:type="dxa"/>
            <w:tcBorders>
              <w:top w:val="nil"/>
              <w:left w:val="nil"/>
              <w:bottom w:val="single" w:sz="4" w:space="0" w:color="auto"/>
              <w:right w:val="single" w:sz="4" w:space="0" w:color="auto"/>
            </w:tcBorders>
            <w:shd w:val="clear" w:color="000000" w:fill="FFC000"/>
            <w:noWrap/>
            <w:vAlign w:val="bottom"/>
            <w:hideMark/>
          </w:tcPr>
          <w:p w14:paraId="488FADF0"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645.7</w:t>
            </w:r>
          </w:p>
        </w:tc>
        <w:tc>
          <w:tcPr>
            <w:tcW w:w="718" w:type="dxa"/>
            <w:tcBorders>
              <w:top w:val="nil"/>
              <w:left w:val="nil"/>
              <w:bottom w:val="single" w:sz="4" w:space="0" w:color="auto"/>
              <w:right w:val="single" w:sz="4" w:space="0" w:color="auto"/>
            </w:tcBorders>
            <w:shd w:val="clear" w:color="000000" w:fill="FFC000"/>
            <w:noWrap/>
            <w:vAlign w:val="bottom"/>
            <w:hideMark/>
          </w:tcPr>
          <w:p w14:paraId="4B10BDE2"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645.3</w:t>
            </w:r>
          </w:p>
        </w:tc>
        <w:tc>
          <w:tcPr>
            <w:tcW w:w="718" w:type="dxa"/>
            <w:tcBorders>
              <w:top w:val="nil"/>
              <w:left w:val="nil"/>
              <w:bottom w:val="single" w:sz="4" w:space="0" w:color="auto"/>
              <w:right w:val="single" w:sz="4" w:space="0" w:color="auto"/>
            </w:tcBorders>
            <w:shd w:val="clear" w:color="000000" w:fill="FFC000"/>
            <w:noWrap/>
            <w:vAlign w:val="bottom"/>
            <w:hideMark/>
          </w:tcPr>
          <w:p w14:paraId="5C515DF1"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642.8</w:t>
            </w:r>
          </w:p>
        </w:tc>
        <w:tc>
          <w:tcPr>
            <w:tcW w:w="718" w:type="dxa"/>
            <w:tcBorders>
              <w:top w:val="nil"/>
              <w:left w:val="nil"/>
              <w:bottom w:val="single" w:sz="4" w:space="0" w:color="auto"/>
              <w:right w:val="single" w:sz="4" w:space="0" w:color="auto"/>
            </w:tcBorders>
            <w:shd w:val="clear" w:color="000000" w:fill="FFC000"/>
            <w:noWrap/>
            <w:vAlign w:val="bottom"/>
            <w:hideMark/>
          </w:tcPr>
          <w:p w14:paraId="388DD465"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640.3</w:t>
            </w:r>
          </w:p>
        </w:tc>
        <w:tc>
          <w:tcPr>
            <w:tcW w:w="718" w:type="dxa"/>
            <w:tcBorders>
              <w:top w:val="nil"/>
              <w:left w:val="nil"/>
              <w:bottom w:val="single" w:sz="4" w:space="0" w:color="auto"/>
              <w:right w:val="single" w:sz="4" w:space="0" w:color="auto"/>
            </w:tcBorders>
            <w:shd w:val="clear" w:color="000000" w:fill="FFC000"/>
            <w:noWrap/>
            <w:vAlign w:val="bottom"/>
            <w:hideMark/>
          </w:tcPr>
          <w:p w14:paraId="341A0B79"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637.8</w:t>
            </w:r>
          </w:p>
        </w:tc>
      </w:tr>
      <w:tr w:rsidR="004B655F" w:rsidRPr="004B655F" w14:paraId="6C2EE15B" w14:textId="77777777" w:rsidTr="00B96CF1">
        <w:trPr>
          <w:trHeight w:val="53"/>
          <w:jc w:val="center"/>
        </w:trPr>
        <w:tc>
          <w:tcPr>
            <w:tcW w:w="1198" w:type="dxa"/>
            <w:vMerge/>
            <w:tcBorders>
              <w:top w:val="nil"/>
              <w:left w:val="single" w:sz="4" w:space="0" w:color="auto"/>
              <w:bottom w:val="single" w:sz="4" w:space="0" w:color="000000"/>
              <w:right w:val="single" w:sz="4" w:space="0" w:color="auto"/>
            </w:tcBorders>
            <w:vAlign w:val="center"/>
            <w:hideMark/>
          </w:tcPr>
          <w:p w14:paraId="6243C3B1"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p>
        </w:tc>
        <w:tc>
          <w:tcPr>
            <w:tcW w:w="666" w:type="dxa"/>
            <w:tcBorders>
              <w:top w:val="nil"/>
              <w:left w:val="nil"/>
              <w:bottom w:val="single" w:sz="4" w:space="0" w:color="auto"/>
              <w:right w:val="single" w:sz="4" w:space="0" w:color="auto"/>
            </w:tcBorders>
            <w:shd w:val="clear" w:color="auto" w:fill="auto"/>
            <w:noWrap/>
            <w:vAlign w:val="bottom"/>
            <w:hideMark/>
          </w:tcPr>
          <w:p w14:paraId="5CB73BDC"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Fhigh</w:t>
            </w:r>
          </w:p>
        </w:tc>
        <w:tc>
          <w:tcPr>
            <w:tcW w:w="554" w:type="dxa"/>
            <w:tcBorders>
              <w:top w:val="nil"/>
              <w:left w:val="nil"/>
              <w:bottom w:val="single" w:sz="4" w:space="0" w:color="auto"/>
              <w:right w:val="single" w:sz="4" w:space="0" w:color="auto"/>
            </w:tcBorders>
            <w:shd w:val="clear" w:color="auto" w:fill="auto"/>
            <w:noWrap/>
            <w:vAlign w:val="bottom"/>
            <w:hideMark/>
          </w:tcPr>
          <w:p w14:paraId="7C804999"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MHz</w:t>
            </w:r>
          </w:p>
        </w:tc>
        <w:tc>
          <w:tcPr>
            <w:tcW w:w="718" w:type="dxa"/>
            <w:tcBorders>
              <w:top w:val="nil"/>
              <w:left w:val="nil"/>
              <w:bottom w:val="single" w:sz="4" w:space="0" w:color="auto"/>
              <w:right w:val="single" w:sz="4" w:space="0" w:color="auto"/>
            </w:tcBorders>
            <w:shd w:val="clear" w:color="000000" w:fill="FF0000"/>
            <w:noWrap/>
            <w:vAlign w:val="bottom"/>
            <w:hideMark/>
          </w:tcPr>
          <w:p w14:paraId="60947B40"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731.4</w:t>
            </w:r>
          </w:p>
        </w:tc>
        <w:tc>
          <w:tcPr>
            <w:tcW w:w="718" w:type="dxa"/>
            <w:tcBorders>
              <w:top w:val="nil"/>
              <w:left w:val="nil"/>
              <w:bottom w:val="single" w:sz="4" w:space="0" w:color="auto"/>
              <w:right w:val="single" w:sz="4" w:space="0" w:color="auto"/>
            </w:tcBorders>
            <w:shd w:val="clear" w:color="000000" w:fill="FF0000"/>
            <w:noWrap/>
            <w:vAlign w:val="bottom"/>
            <w:hideMark/>
          </w:tcPr>
          <w:p w14:paraId="3B492C14"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686.0</w:t>
            </w:r>
          </w:p>
        </w:tc>
        <w:tc>
          <w:tcPr>
            <w:tcW w:w="718" w:type="dxa"/>
            <w:tcBorders>
              <w:top w:val="nil"/>
              <w:left w:val="nil"/>
              <w:bottom w:val="single" w:sz="4" w:space="0" w:color="auto"/>
              <w:right w:val="single" w:sz="4" w:space="0" w:color="auto"/>
            </w:tcBorders>
            <w:shd w:val="clear" w:color="000000" w:fill="FF0000"/>
            <w:noWrap/>
            <w:vAlign w:val="bottom"/>
            <w:hideMark/>
          </w:tcPr>
          <w:p w14:paraId="012CCF57"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670.9</w:t>
            </w:r>
          </w:p>
        </w:tc>
        <w:tc>
          <w:tcPr>
            <w:tcW w:w="718" w:type="dxa"/>
            <w:tcBorders>
              <w:top w:val="nil"/>
              <w:left w:val="nil"/>
              <w:bottom w:val="single" w:sz="4" w:space="0" w:color="auto"/>
              <w:right w:val="single" w:sz="4" w:space="0" w:color="auto"/>
            </w:tcBorders>
            <w:shd w:val="clear" w:color="000000" w:fill="FF0000"/>
            <w:noWrap/>
            <w:vAlign w:val="bottom"/>
            <w:hideMark/>
          </w:tcPr>
          <w:p w14:paraId="2F1AE871"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663.3</w:t>
            </w:r>
          </w:p>
        </w:tc>
        <w:tc>
          <w:tcPr>
            <w:tcW w:w="718" w:type="dxa"/>
            <w:tcBorders>
              <w:top w:val="nil"/>
              <w:left w:val="nil"/>
              <w:bottom w:val="single" w:sz="4" w:space="0" w:color="auto"/>
              <w:right w:val="single" w:sz="4" w:space="0" w:color="auto"/>
            </w:tcBorders>
            <w:shd w:val="clear" w:color="000000" w:fill="FF0000"/>
            <w:noWrap/>
            <w:vAlign w:val="bottom"/>
            <w:hideMark/>
          </w:tcPr>
          <w:p w14:paraId="3653F47E"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660.8</w:t>
            </w:r>
          </w:p>
        </w:tc>
        <w:tc>
          <w:tcPr>
            <w:tcW w:w="718" w:type="dxa"/>
            <w:tcBorders>
              <w:top w:val="nil"/>
              <w:left w:val="nil"/>
              <w:bottom w:val="nil"/>
              <w:right w:val="single" w:sz="4" w:space="0" w:color="auto"/>
            </w:tcBorders>
            <w:shd w:val="clear" w:color="000000" w:fill="FF0000"/>
            <w:noWrap/>
            <w:vAlign w:val="bottom"/>
            <w:hideMark/>
          </w:tcPr>
          <w:p w14:paraId="4DD76904"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658.3</w:t>
            </w:r>
          </w:p>
        </w:tc>
        <w:tc>
          <w:tcPr>
            <w:tcW w:w="718" w:type="dxa"/>
            <w:tcBorders>
              <w:top w:val="nil"/>
              <w:left w:val="nil"/>
              <w:bottom w:val="nil"/>
              <w:right w:val="single" w:sz="4" w:space="0" w:color="auto"/>
            </w:tcBorders>
            <w:shd w:val="clear" w:color="000000" w:fill="FF0000"/>
            <w:noWrap/>
            <w:vAlign w:val="bottom"/>
            <w:hideMark/>
          </w:tcPr>
          <w:p w14:paraId="5BE49B83"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655.8</w:t>
            </w:r>
          </w:p>
        </w:tc>
      </w:tr>
      <w:tr w:rsidR="004B655F" w:rsidRPr="004B655F" w14:paraId="3F05D27D" w14:textId="77777777" w:rsidTr="00B96CF1">
        <w:trPr>
          <w:trHeight w:val="43"/>
          <w:jc w:val="center"/>
        </w:trPr>
        <w:tc>
          <w:tcPr>
            <w:tcW w:w="1198" w:type="dxa"/>
            <w:vMerge/>
            <w:tcBorders>
              <w:top w:val="nil"/>
              <w:left w:val="single" w:sz="4" w:space="0" w:color="auto"/>
              <w:bottom w:val="single" w:sz="4" w:space="0" w:color="000000"/>
              <w:right w:val="single" w:sz="4" w:space="0" w:color="auto"/>
            </w:tcBorders>
            <w:vAlign w:val="center"/>
            <w:hideMark/>
          </w:tcPr>
          <w:p w14:paraId="5D88480F"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p>
        </w:tc>
        <w:tc>
          <w:tcPr>
            <w:tcW w:w="666" w:type="dxa"/>
            <w:tcBorders>
              <w:top w:val="nil"/>
              <w:left w:val="nil"/>
              <w:bottom w:val="single" w:sz="4" w:space="0" w:color="auto"/>
              <w:right w:val="single" w:sz="4" w:space="0" w:color="auto"/>
            </w:tcBorders>
            <w:shd w:val="clear" w:color="auto" w:fill="auto"/>
            <w:noWrap/>
            <w:vAlign w:val="bottom"/>
            <w:hideMark/>
          </w:tcPr>
          <w:p w14:paraId="504145C9"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OVL</w:t>
            </w:r>
          </w:p>
        </w:tc>
        <w:tc>
          <w:tcPr>
            <w:tcW w:w="554" w:type="dxa"/>
            <w:tcBorders>
              <w:top w:val="nil"/>
              <w:left w:val="nil"/>
              <w:bottom w:val="single" w:sz="4" w:space="0" w:color="auto"/>
              <w:right w:val="single" w:sz="4" w:space="0" w:color="auto"/>
            </w:tcBorders>
            <w:shd w:val="clear" w:color="auto" w:fill="auto"/>
            <w:noWrap/>
            <w:vAlign w:val="bottom"/>
            <w:hideMark/>
          </w:tcPr>
          <w:p w14:paraId="731EFDCB" w14:textId="77777777" w:rsidR="004B655F" w:rsidRPr="004B655F" w:rsidRDefault="004B655F" w:rsidP="004B655F">
            <w:pPr>
              <w:overflowPunct/>
              <w:autoSpaceDE/>
              <w:autoSpaceDN/>
              <w:adjustRightInd/>
              <w:spacing w:after="0"/>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MHz</w:t>
            </w:r>
          </w:p>
        </w:tc>
        <w:tc>
          <w:tcPr>
            <w:tcW w:w="718" w:type="dxa"/>
            <w:tcBorders>
              <w:top w:val="nil"/>
              <w:left w:val="nil"/>
              <w:bottom w:val="single" w:sz="4" w:space="0" w:color="auto"/>
              <w:right w:val="single" w:sz="4" w:space="0" w:color="auto"/>
            </w:tcBorders>
            <w:shd w:val="clear" w:color="000000" w:fill="00B050"/>
            <w:noWrap/>
            <w:vAlign w:val="bottom"/>
            <w:hideMark/>
          </w:tcPr>
          <w:p w14:paraId="06FB436B"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3.2</w:t>
            </w:r>
          </w:p>
        </w:tc>
        <w:tc>
          <w:tcPr>
            <w:tcW w:w="718" w:type="dxa"/>
            <w:tcBorders>
              <w:top w:val="nil"/>
              <w:left w:val="nil"/>
              <w:bottom w:val="single" w:sz="4" w:space="0" w:color="auto"/>
              <w:right w:val="single" w:sz="4" w:space="0" w:color="auto"/>
            </w:tcBorders>
            <w:shd w:val="clear" w:color="000000" w:fill="00B050"/>
            <w:noWrap/>
            <w:vAlign w:val="bottom"/>
            <w:hideMark/>
          </w:tcPr>
          <w:p w14:paraId="70561E49"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5.2</w:t>
            </w:r>
          </w:p>
        </w:tc>
        <w:tc>
          <w:tcPr>
            <w:tcW w:w="718" w:type="dxa"/>
            <w:tcBorders>
              <w:top w:val="nil"/>
              <w:left w:val="nil"/>
              <w:bottom w:val="single" w:sz="4" w:space="0" w:color="auto"/>
              <w:right w:val="single" w:sz="4" w:space="0" w:color="auto"/>
            </w:tcBorders>
            <w:shd w:val="clear" w:color="000000" w:fill="92D050"/>
            <w:noWrap/>
            <w:vAlign w:val="bottom"/>
            <w:hideMark/>
          </w:tcPr>
          <w:p w14:paraId="32D4BC20"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5.9</w:t>
            </w:r>
          </w:p>
        </w:tc>
        <w:tc>
          <w:tcPr>
            <w:tcW w:w="718" w:type="dxa"/>
            <w:tcBorders>
              <w:top w:val="nil"/>
              <w:left w:val="nil"/>
              <w:bottom w:val="single" w:sz="4" w:space="0" w:color="auto"/>
              <w:right w:val="single" w:sz="4" w:space="0" w:color="auto"/>
            </w:tcBorders>
            <w:shd w:val="clear" w:color="000000" w:fill="FFFF00"/>
            <w:noWrap/>
            <w:vAlign w:val="bottom"/>
            <w:hideMark/>
          </w:tcPr>
          <w:p w14:paraId="2641D6CB"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6.3</w:t>
            </w:r>
          </w:p>
        </w:tc>
        <w:tc>
          <w:tcPr>
            <w:tcW w:w="718" w:type="dxa"/>
            <w:tcBorders>
              <w:top w:val="nil"/>
              <w:left w:val="nil"/>
              <w:bottom w:val="single" w:sz="4" w:space="0" w:color="auto"/>
              <w:right w:val="nil"/>
            </w:tcBorders>
            <w:shd w:val="clear" w:color="000000" w:fill="FFFF00"/>
            <w:noWrap/>
            <w:vAlign w:val="bottom"/>
            <w:hideMark/>
          </w:tcPr>
          <w:p w14:paraId="46D9E1F1"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color w:val="000000"/>
                <w:sz w:val="18"/>
                <w:szCs w:val="18"/>
              </w:rPr>
            </w:pPr>
            <w:r w:rsidRPr="004B655F">
              <w:rPr>
                <w:rFonts w:asciiTheme="minorHAnsi" w:hAnsiTheme="minorHAnsi" w:cstheme="minorHAnsi"/>
                <w:color w:val="000000"/>
                <w:sz w:val="18"/>
                <w:szCs w:val="18"/>
              </w:rPr>
              <w:t>8.7</w:t>
            </w:r>
          </w:p>
        </w:tc>
        <w:tc>
          <w:tcPr>
            <w:tcW w:w="718" w:type="dxa"/>
            <w:tcBorders>
              <w:top w:val="single" w:sz="8" w:space="0" w:color="auto"/>
              <w:left w:val="single" w:sz="8" w:space="0" w:color="auto"/>
              <w:bottom w:val="single" w:sz="8" w:space="0" w:color="auto"/>
              <w:right w:val="single" w:sz="4" w:space="0" w:color="auto"/>
            </w:tcBorders>
            <w:shd w:val="clear" w:color="000000" w:fill="FFC000"/>
            <w:noWrap/>
            <w:vAlign w:val="bottom"/>
            <w:hideMark/>
          </w:tcPr>
          <w:p w14:paraId="2FBDBD3C"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b/>
                <w:bCs/>
                <w:color w:val="000000"/>
                <w:sz w:val="18"/>
                <w:szCs w:val="18"/>
              </w:rPr>
            </w:pPr>
            <w:r w:rsidRPr="004B655F">
              <w:rPr>
                <w:rFonts w:asciiTheme="minorHAnsi" w:hAnsiTheme="minorHAnsi" w:cstheme="minorHAnsi"/>
                <w:b/>
                <w:bCs/>
                <w:color w:val="000000"/>
                <w:sz w:val="18"/>
                <w:szCs w:val="18"/>
              </w:rPr>
              <w:t>11.1</w:t>
            </w:r>
          </w:p>
        </w:tc>
        <w:tc>
          <w:tcPr>
            <w:tcW w:w="718" w:type="dxa"/>
            <w:tcBorders>
              <w:top w:val="single" w:sz="8" w:space="0" w:color="auto"/>
              <w:left w:val="nil"/>
              <w:bottom w:val="single" w:sz="8" w:space="0" w:color="auto"/>
              <w:right w:val="single" w:sz="8" w:space="0" w:color="auto"/>
            </w:tcBorders>
            <w:shd w:val="clear" w:color="000000" w:fill="FFC000"/>
            <w:noWrap/>
            <w:vAlign w:val="bottom"/>
            <w:hideMark/>
          </w:tcPr>
          <w:p w14:paraId="1D1162BE" w14:textId="77777777" w:rsidR="004B655F" w:rsidRPr="004B655F" w:rsidRDefault="004B655F" w:rsidP="004B655F">
            <w:pPr>
              <w:overflowPunct/>
              <w:autoSpaceDE/>
              <w:autoSpaceDN/>
              <w:adjustRightInd/>
              <w:spacing w:after="0"/>
              <w:jc w:val="center"/>
              <w:textAlignment w:val="auto"/>
              <w:rPr>
                <w:rFonts w:asciiTheme="minorHAnsi" w:hAnsiTheme="minorHAnsi" w:cstheme="minorHAnsi"/>
                <w:b/>
                <w:bCs/>
                <w:color w:val="000000"/>
                <w:sz w:val="18"/>
                <w:szCs w:val="18"/>
              </w:rPr>
            </w:pPr>
            <w:r w:rsidRPr="004B655F">
              <w:rPr>
                <w:rFonts w:asciiTheme="minorHAnsi" w:hAnsiTheme="minorHAnsi" w:cstheme="minorHAnsi"/>
                <w:b/>
                <w:bCs/>
                <w:color w:val="000000"/>
                <w:sz w:val="18"/>
                <w:szCs w:val="18"/>
              </w:rPr>
              <w:t>13.7</w:t>
            </w:r>
          </w:p>
        </w:tc>
      </w:tr>
    </w:tbl>
    <w:p w14:paraId="4538D76B" w14:textId="3C980AAD" w:rsidR="004B655F" w:rsidRDefault="004B655F" w:rsidP="00293BD2">
      <w:pPr>
        <w:spacing w:after="0"/>
      </w:pPr>
    </w:p>
    <w:p w14:paraId="2FDE6FCE" w14:textId="3C001FAD" w:rsidR="001416E0" w:rsidRPr="00293BD2" w:rsidRDefault="001416E0" w:rsidP="001416E0">
      <w:pPr>
        <w:spacing w:after="0"/>
        <w:rPr>
          <w:b/>
          <w:bCs/>
        </w:rPr>
      </w:pPr>
      <w:r w:rsidRPr="00293BD2">
        <w:rPr>
          <w:b/>
          <w:bCs/>
        </w:rPr>
        <w:t>Observation on IMD overlap for n71 and n105</w:t>
      </w:r>
      <w:r w:rsidR="00293BD2">
        <w:rPr>
          <w:b/>
          <w:bCs/>
        </w:rPr>
        <w:t>:</w:t>
      </w:r>
    </w:p>
    <w:p w14:paraId="6B2A48C9" w14:textId="6BCC06E9" w:rsidR="001416E0" w:rsidRPr="00293BD2" w:rsidRDefault="001416E0" w:rsidP="001416E0">
      <w:pPr>
        <w:pStyle w:val="ListParagraph"/>
        <w:numPr>
          <w:ilvl w:val="0"/>
          <w:numId w:val="36"/>
        </w:numPr>
        <w:rPr>
          <w:b/>
          <w:bCs/>
        </w:rPr>
      </w:pPr>
      <w:r w:rsidRPr="00293BD2">
        <w:rPr>
          <w:b/>
          <w:bCs/>
        </w:rPr>
        <w:t>Even if n105 duplex distance is 5MHz higher than for n71, at a given channel bandwidth, the n105 DL channel is subject to the same IMD order as n71 with just 5MHz lower overlap than n71</w:t>
      </w:r>
      <w:r w:rsidR="00293BD2">
        <w:rPr>
          <w:b/>
          <w:bCs/>
        </w:rPr>
        <w:t>.</w:t>
      </w:r>
    </w:p>
    <w:p w14:paraId="6CF050BC" w14:textId="0D321B66" w:rsidR="001416E0" w:rsidRPr="00293BD2" w:rsidRDefault="001416E0" w:rsidP="001416E0">
      <w:pPr>
        <w:pStyle w:val="ListParagraph"/>
        <w:numPr>
          <w:ilvl w:val="0"/>
          <w:numId w:val="36"/>
        </w:numPr>
        <w:rPr>
          <w:b/>
          <w:bCs/>
        </w:rPr>
      </w:pPr>
      <w:r w:rsidRPr="00293BD2">
        <w:rPr>
          <w:b/>
          <w:bCs/>
        </w:rPr>
        <w:lastRenderedPageBreak/>
        <w:t>15MHz channels are subject to IMD7 while higher bandwidth channels are subject to IMD5</w:t>
      </w:r>
      <w:r w:rsidR="00293BD2">
        <w:rPr>
          <w:b/>
          <w:bCs/>
        </w:rPr>
        <w:t>.</w:t>
      </w:r>
    </w:p>
    <w:p w14:paraId="5BB92CE4" w14:textId="6F61F9F8" w:rsidR="003353BF" w:rsidRPr="00293BD2" w:rsidRDefault="003353BF" w:rsidP="001416E0">
      <w:pPr>
        <w:pStyle w:val="ListParagraph"/>
        <w:numPr>
          <w:ilvl w:val="0"/>
          <w:numId w:val="36"/>
        </w:numPr>
        <w:rPr>
          <w:b/>
          <w:bCs/>
        </w:rPr>
      </w:pPr>
      <w:r w:rsidRPr="00293BD2">
        <w:rPr>
          <w:b/>
          <w:bCs/>
        </w:rPr>
        <w:t>The IMD5 peak overlaps with n71 20/25/30/35MHz channels and n105 30/35MHz channels, while over channels only se the decaying part of the IMD spectrum.</w:t>
      </w:r>
    </w:p>
    <w:p w14:paraId="0CB119B0" w14:textId="5651CA2E" w:rsidR="003353BF" w:rsidRPr="00293BD2" w:rsidRDefault="001416E0" w:rsidP="003353BF">
      <w:pPr>
        <w:pStyle w:val="ListParagraph"/>
        <w:numPr>
          <w:ilvl w:val="0"/>
          <w:numId w:val="36"/>
        </w:numPr>
        <w:rPr>
          <w:b/>
          <w:bCs/>
        </w:rPr>
      </w:pPr>
      <w:r w:rsidRPr="00293BD2">
        <w:rPr>
          <w:b/>
          <w:bCs/>
        </w:rPr>
        <w:t xml:space="preserve">Noticeably, the IMD5 overlap for n105 for 30 and 35MHz is the same than for n71 </w:t>
      </w:r>
      <w:r w:rsidR="003353BF" w:rsidRPr="00293BD2">
        <w:rPr>
          <w:b/>
          <w:bCs/>
        </w:rPr>
        <w:t>20 and 25MHz respectively</w:t>
      </w:r>
      <w:r w:rsidR="00293BD2">
        <w:rPr>
          <w:b/>
          <w:bCs/>
        </w:rPr>
        <w:t>.</w:t>
      </w:r>
    </w:p>
    <w:p w14:paraId="44ABDED1" w14:textId="30D7F7D0" w:rsidR="003353BF" w:rsidRDefault="003353BF" w:rsidP="003353BF">
      <w:r>
        <w:t xml:space="preserve">This last observation is of importance as it means that the n105 30 and 35MHz </w:t>
      </w:r>
      <w:r w:rsidR="00293BD2">
        <w:t>are subject to</w:t>
      </w:r>
      <w:r>
        <w:t xml:space="preserve"> the same IMD5 interference power than for n71 20 and 25MHz cases respectively. </w:t>
      </w:r>
    </w:p>
    <w:p w14:paraId="509FC7CA" w14:textId="4C4C8F5C" w:rsidR="003353BF" w:rsidRDefault="003353BF" w:rsidP="003353BF">
      <w:pPr>
        <w:spacing w:after="0"/>
      </w:pPr>
      <w:r>
        <w:t>Since we have the n71 de-sense level compared to the ideally scaled REFSENS, we can calculate this interfering power level for the different channel bandwidths and use it to calculate the n105 de-sense level by:</w:t>
      </w:r>
    </w:p>
    <w:p w14:paraId="30249DAE" w14:textId="5FF0C745" w:rsidR="003353BF" w:rsidRDefault="003353BF" w:rsidP="003353BF">
      <w:pPr>
        <w:pStyle w:val="ListParagraph"/>
        <w:numPr>
          <w:ilvl w:val="0"/>
          <w:numId w:val="37"/>
        </w:numPr>
      </w:pPr>
      <w:r>
        <w:t>Using the interference power calculated from n71 20MHz REFSENS for n105 30MHz</w:t>
      </w:r>
    </w:p>
    <w:p w14:paraId="4477E93C" w14:textId="0C60445B" w:rsidR="003353BF" w:rsidRDefault="003353BF" w:rsidP="003353BF">
      <w:pPr>
        <w:pStyle w:val="ListParagraph"/>
        <w:numPr>
          <w:ilvl w:val="0"/>
          <w:numId w:val="37"/>
        </w:numPr>
      </w:pPr>
      <w:r>
        <w:t>Using the interference power calculated from n71 25MHz REFSENS for n105 35MHz</w:t>
      </w:r>
    </w:p>
    <w:p w14:paraId="5A4B3E12" w14:textId="05EF91E4" w:rsidR="003353BF" w:rsidRDefault="003353BF" w:rsidP="003353BF">
      <w:pPr>
        <w:pStyle w:val="ListParagraph"/>
        <w:numPr>
          <w:ilvl w:val="0"/>
          <w:numId w:val="37"/>
        </w:numPr>
      </w:pPr>
      <w:r>
        <w:t>Using the interference power calculated from n71 20MHz REFSENS:</w:t>
      </w:r>
    </w:p>
    <w:p w14:paraId="52BC872F" w14:textId="56C8B4FA" w:rsidR="003353BF" w:rsidRDefault="003353BF" w:rsidP="003353BF">
      <w:pPr>
        <w:pStyle w:val="ListParagraph"/>
        <w:numPr>
          <w:ilvl w:val="1"/>
          <w:numId w:val="37"/>
        </w:numPr>
      </w:pPr>
      <w:r>
        <w:t xml:space="preserve">For </w:t>
      </w:r>
      <w:r w:rsidR="00472F7C">
        <w:t>n105 25MHz with similar reduction than between n71 and n105 25MHz cases</w:t>
      </w:r>
    </w:p>
    <w:p w14:paraId="474F9F4E" w14:textId="0A99ED97" w:rsidR="003353BF" w:rsidRDefault="00472F7C" w:rsidP="00472F7C">
      <w:pPr>
        <w:pStyle w:val="ListParagraph"/>
        <w:numPr>
          <w:ilvl w:val="1"/>
          <w:numId w:val="37"/>
        </w:numPr>
      </w:pPr>
      <w:r>
        <w:t>For n105 20MHz with further reduction</w:t>
      </w:r>
    </w:p>
    <w:p w14:paraId="4E3C5D4C" w14:textId="5B1FAEC9" w:rsidR="00472F7C" w:rsidRDefault="00472F7C" w:rsidP="00B51330">
      <w:pPr>
        <w:pStyle w:val="ListParagraph"/>
        <w:numPr>
          <w:ilvl w:val="0"/>
          <w:numId w:val="37"/>
        </w:numPr>
      </w:pPr>
      <w:r>
        <w:t xml:space="preserve">In a similar way the </w:t>
      </w:r>
      <w:r w:rsidR="00B51330">
        <w:t>n71</w:t>
      </w:r>
      <w:r>
        <w:t xml:space="preserve"> </w:t>
      </w:r>
      <w:r w:rsidR="00B51330">
        <w:t>REFSENS calculated interference level for 15MHz can be used for n105.</w:t>
      </w:r>
    </w:p>
    <w:p w14:paraId="1E1486E5" w14:textId="31A0757D" w:rsidR="00B51330" w:rsidRDefault="00B51330" w:rsidP="003353BF">
      <w:r>
        <w:t>Although this does not replace a measurement campaign (which we plan for next meeting as a confirmation)</w:t>
      </w:r>
      <w:r w:rsidR="00293BD2">
        <w:t>,</w:t>
      </w:r>
      <w:r>
        <w:t xml:space="preserve"> as it would allow an exact comparison of the interference level for both duplex distances </w:t>
      </w:r>
      <w:r w:rsidR="00293BD2">
        <w:t>in</w:t>
      </w:r>
      <w:r>
        <w:t xml:space="preserve"> the same DL channel, it provides a fairly accurate estimation of the n105 REFSENS, especially for 30 and 35MHz.</w:t>
      </w:r>
    </w:p>
    <w:p w14:paraId="7F2BDBA9" w14:textId="7442752F" w:rsidR="00B51330" w:rsidRDefault="00B51330" w:rsidP="003353BF">
      <w:r>
        <w:t xml:space="preserve">The calculations in Table 2 use the approach exposed above and the row in Cyan are the n105 REFSENS recalculated based on the appropriate n71 interference levels that can be derived from the de-sense level. </w:t>
      </w:r>
    </w:p>
    <w:p w14:paraId="0DA697A9" w14:textId="2C0650F0" w:rsidR="00931048" w:rsidRPr="00494D5C" w:rsidRDefault="00931048" w:rsidP="00494D5C">
      <w:pPr>
        <w:pStyle w:val="Caption"/>
        <w:keepNext/>
        <w:jc w:val="center"/>
      </w:pPr>
      <w:r w:rsidRPr="00494D5C">
        <w:t xml:space="preserve">Table </w:t>
      </w:r>
      <w:r>
        <w:fldChar w:fldCharType="begin"/>
      </w:r>
      <w:r w:rsidRPr="00494D5C">
        <w:instrText xml:space="preserve"> SEQ Table \* ARABIC </w:instrText>
      </w:r>
      <w:r>
        <w:fldChar w:fldCharType="separate"/>
      </w:r>
      <w:r w:rsidRPr="00494D5C">
        <w:rPr>
          <w:noProof/>
        </w:rPr>
        <w:t>2</w:t>
      </w:r>
      <w:r>
        <w:fldChar w:fldCharType="end"/>
      </w:r>
      <w:r w:rsidR="00494D5C" w:rsidRPr="00494D5C">
        <w:t>: n105 20/25/30/35MHz de-sense derived f</w:t>
      </w:r>
      <w:r w:rsidR="00494D5C">
        <w:t>rom n71</w:t>
      </w:r>
    </w:p>
    <w:tbl>
      <w:tblPr>
        <w:tblW w:w="7029" w:type="dxa"/>
        <w:jc w:val="center"/>
        <w:tblLook w:val="04A0" w:firstRow="1" w:lastRow="0" w:firstColumn="1" w:lastColumn="0" w:noHBand="0" w:noVBand="1"/>
      </w:tblPr>
      <w:tblGrid>
        <w:gridCol w:w="2329"/>
        <w:gridCol w:w="680"/>
        <w:gridCol w:w="680"/>
        <w:gridCol w:w="620"/>
        <w:gridCol w:w="680"/>
        <w:gridCol w:w="680"/>
        <w:gridCol w:w="680"/>
        <w:gridCol w:w="680"/>
      </w:tblGrid>
      <w:tr w:rsidR="00C224D2" w:rsidRPr="00C224D2" w14:paraId="4711429E" w14:textId="77777777" w:rsidTr="00B96CF1">
        <w:trPr>
          <w:trHeight w:val="53"/>
          <w:jc w:val="center"/>
        </w:trPr>
        <w:tc>
          <w:tcPr>
            <w:tcW w:w="2329" w:type="dxa"/>
            <w:tcBorders>
              <w:top w:val="nil"/>
              <w:left w:val="nil"/>
              <w:bottom w:val="nil"/>
              <w:right w:val="nil"/>
            </w:tcBorders>
            <w:shd w:val="clear" w:color="auto" w:fill="auto"/>
            <w:noWrap/>
            <w:vAlign w:val="bottom"/>
            <w:hideMark/>
          </w:tcPr>
          <w:p w14:paraId="6A248AFC" w14:textId="77777777" w:rsidR="00C224D2" w:rsidRPr="00494D5C" w:rsidRDefault="00C224D2" w:rsidP="00C224D2">
            <w:pPr>
              <w:overflowPunct/>
              <w:autoSpaceDE/>
              <w:autoSpaceDN/>
              <w:adjustRightInd/>
              <w:spacing w:after="0"/>
              <w:textAlignment w:val="auto"/>
              <w:rPr>
                <w:rFonts w:asciiTheme="minorHAnsi" w:hAnsiTheme="minorHAnsi" w:cstheme="minorHAnsi"/>
                <w:sz w:val="18"/>
                <w:szCs w:val="18"/>
              </w:rPr>
            </w:pPr>
          </w:p>
        </w:tc>
        <w:tc>
          <w:tcPr>
            <w:tcW w:w="470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6F4C409"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CBW [MHz], NRB, REFSENS [dBm]</w:t>
            </w:r>
          </w:p>
        </w:tc>
      </w:tr>
      <w:tr w:rsidR="00C224D2" w:rsidRPr="00C224D2" w14:paraId="7511D221" w14:textId="77777777" w:rsidTr="00B96CF1">
        <w:trPr>
          <w:trHeight w:val="53"/>
          <w:jc w:val="center"/>
        </w:trPr>
        <w:tc>
          <w:tcPr>
            <w:tcW w:w="23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358DD2" w14:textId="77777777" w:rsidR="00C224D2" w:rsidRPr="00C224D2" w:rsidRDefault="00C224D2" w:rsidP="00C224D2">
            <w:pPr>
              <w:overflowPunct/>
              <w:autoSpaceDE/>
              <w:autoSpaceDN/>
              <w:adjustRightInd/>
              <w:spacing w:after="0"/>
              <w:jc w:val="right"/>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CBW [MHz]</w:t>
            </w:r>
          </w:p>
        </w:tc>
        <w:tc>
          <w:tcPr>
            <w:tcW w:w="680" w:type="dxa"/>
            <w:tcBorders>
              <w:top w:val="nil"/>
              <w:left w:val="nil"/>
              <w:bottom w:val="single" w:sz="4" w:space="0" w:color="auto"/>
              <w:right w:val="single" w:sz="4" w:space="0" w:color="auto"/>
            </w:tcBorders>
            <w:shd w:val="clear" w:color="auto" w:fill="auto"/>
            <w:vAlign w:val="center"/>
            <w:hideMark/>
          </w:tcPr>
          <w:p w14:paraId="2D8EBD1B"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b/>
                <w:bCs/>
                <w:color w:val="000000"/>
                <w:sz w:val="18"/>
                <w:szCs w:val="18"/>
              </w:rPr>
            </w:pPr>
            <w:r w:rsidRPr="00C224D2">
              <w:rPr>
                <w:rFonts w:asciiTheme="minorHAnsi" w:hAnsiTheme="minorHAnsi" w:cstheme="minorHAnsi"/>
                <w:b/>
                <w:bCs/>
                <w:color w:val="000000"/>
                <w:sz w:val="18"/>
                <w:szCs w:val="18"/>
              </w:rPr>
              <w:t>5</w:t>
            </w:r>
          </w:p>
        </w:tc>
        <w:tc>
          <w:tcPr>
            <w:tcW w:w="680" w:type="dxa"/>
            <w:tcBorders>
              <w:top w:val="nil"/>
              <w:left w:val="nil"/>
              <w:bottom w:val="single" w:sz="4" w:space="0" w:color="auto"/>
              <w:right w:val="single" w:sz="4" w:space="0" w:color="auto"/>
            </w:tcBorders>
            <w:shd w:val="clear" w:color="auto" w:fill="auto"/>
            <w:vAlign w:val="center"/>
            <w:hideMark/>
          </w:tcPr>
          <w:p w14:paraId="57F98C8C"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b/>
                <w:bCs/>
                <w:color w:val="000000"/>
                <w:sz w:val="18"/>
                <w:szCs w:val="18"/>
              </w:rPr>
            </w:pPr>
            <w:r w:rsidRPr="00C224D2">
              <w:rPr>
                <w:rFonts w:asciiTheme="minorHAnsi" w:hAnsiTheme="minorHAnsi" w:cstheme="minorHAnsi"/>
                <w:b/>
                <w:bCs/>
                <w:color w:val="000000"/>
                <w:sz w:val="18"/>
                <w:szCs w:val="18"/>
              </w:rPr>
              <w:t>10</w:t>
            </w:r>
          </w:p>
        </w:tc>
        <w:tc>
          <w:tcPr>
            <w:tcW w:w="620" w:type="dxa"/>
            <w:tcBorders>
              <w:top w:val="nil"/>
              <w:left w:val="nil"/>
              <w:bottom w:val="single" w:sz="4" w:space="0" w:color="auto"/>
              <w:right w:val="single" w:sz="4" w:space="0" w:color="auto"/>
            </w:tcBorders>
            <w:shd w:val="clear" w:color="auto" w:fill="auto"/>
            <w:vAlign w:val="center"/>
            <w:hideMark/>
          </w:tcPr>
          <w:p w14:paraId="1B91CB9A"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b/>
                <w:bCs/>
                <w:color w:val="000000"/>
                <w:sz w:val="18"/>
                <w:szCs w:val="18"/>
              </w:rPr>
            </w:pPr>
            <w:r w:rsidRPr="00C224D2">
              <w:rPr>
                <w:rFonts w:asciiTheme="minorHAnsi" w:hAnsiTheme="minorHAnsi" w:cstheme="minorHAnsi"/>
                <w:b/>
                <w:bCs/>
                <w:color w:val="000000"/>
                <w:sz w:val="18"/>
                <w:szCs w:val="18"/>
              </w:rPr>
              <w:t>15</w:t>
            </w:r>
          </w:p>
        </w:tc>
        <w:tc>
          <w:tcPr>
            <w:tcW w:w="680" w:type="dxa"/>
            <w:tcBorders>
              <w:top w:val="nil"/>
              <w:left w:val="nil"/>
              <w:bottom w:val="single" w:sz="4" w:space="0" w:color="auto"/>
              <w:right w:val="single" w:sz="4" w:space="0" w:color="auto"/>
            </w:tcBorders>
            <w:shd w:val="clear" w:color="auto" w:fill="auto"/>
            <w:vAlign w:val="center"/>
            <w:hideMark/>
          </w:tcPr>
          <w:p w14:paraId="433C8645"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b/>
                <w:bCs/>
                <w:color w:val="000000"/>
                <w:sz w:val="18"/>
                <w:szCs w:val="18"/>
              </w:rPr>
            </w:pPr>
            <w:r w:rsidRPr="00C224D2">
              <w:rPr>
                <w:rFonts w:asciiTheme="minorHAnsi" w:hAnsiTheme="minorHAnsi" w:cstheme="minorHAnsi"/>
                <w:b/>
                <w:bCs/>
                <w:color w:val="000000"/>
                <w:sz w:val="18"/>
                <w:szCs w:val="18"/>
              </w:rPr>
              <w:t>20</w:t>
            </w:r>
          </w:p>
        </w:tc>
        <w:tc>
          <w:tcPr>
            <w:tcW w:w="680" w:type="dxa"/>
            <w:tcBorders>
              <w:top w:val="nil"/>
              <w:left w:val="nil"/>
              <w:bottom w:val="single" w:sz="4" w:space="0" w:color="auto"/>
              <w:right w:val="single" w:sz="4" w:space="0" w:color="auto"/>
            </w:tcBorders>
            <w:shd w:val="clear" w:color="auto" w:fill="auto"/>
            <w:vAlign w:val="center"/>
            <w:hideMark/>
          </w:tcPr>
          <w:p w14:paraId="03F7EF2B"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b/>
                <w:bCs/>
                <w:color w:val="000000"/>
                <w:sz w:val="18"/>
                <w:szCs w:val="18"/>
              </w:rPr>
            </w:pPr>
            <w:r w:rsidRPr="00C224D2">
              <w:rPr>
                <w:rFonts w:asciiTheme="minorHAnsi" w:hAnsiTheme="minorHAnsi" w:cstheme="minorHAnsi"/>
                <w:b/>
                <w:bCs/>
                <w:color w:val="000000"/>
                <w:sz w:val="18"/>
                <w:szCs w:val="18"/>
              </w:rPr>
              <w:t>25</w:t>
            </w:r>
          </w:p>
        </w:tc>
        <w:tc>
          <w:tcPr>
            <w:tcW w:w="680" w:type="dxa"/>
            <w:tcBorders>
              <w:top w:val="nil"/>
              <w:left w:val="nil"/>
              <w:bottom w:val="single" w:sz="4" w:space="0" w:color="auto"/>
              <w:right w:val="single" w:sz="4" w:space="0" w:color="auto"/>
            </w:tcBorders>
            <w:shd w:val="clear" w:color="auto" w:fill="auto"/>
            <w:vAlign w:val="center"/>
            <w:hideMark/>
          </w:tcPr>
          <w:p w14:paraId="599EFFE3"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b/>
                <w:bCs/>
                <w:color w:val="000000"/>
                <w:sz w:val="18"/>
                <w:szCs w:val="18"/>
              </w:rPr>
            </w:pPr>
            <w:r w:rsidRPr="00C224D2">
              <w:rPr>
                <w:rFonts w:asciiTheme="minorHAnsi" w:hAnsiTheme="minorHAnsi" w:cstheme="minorHAnsi"/>
                <w:b/>
                <w:bCs/>
                <w:color w:val="000000"/>
                <w:sz w:val="18"/>
                <w:szCs w:val="18"/>
              </w:rPr>
              <w:t>30</w:t>
            </w:r>
          </w:p>
        </w:tc>
        <w:tc>
          <w:tcPr>
            <w:tcW w:w="680" w:type="dxa"/>
            <w:tcBorders>
              <w:top w:val="nil"/>
              <w:left w:val="nil"/>
              <w:bottom w:val="single" w:sz="4" w:space="0" w:color="auto"/>
              <w:right w:val="single" w:sz="4" w:space="0" w:color="auto"/>
            </w:tcBorders>
            <w:shd w:val="clear" w:color="auto" w:fill="auto"/>
            <w:vAlign w:val="center"/>
            <w:hideMark/>
          </w:tcPr>
          <w:p w14:paraId="43CB9B4E"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b/>
                <w:bCs/>
                <w:color w:val="000000"/>
                <w:sz w:val="18"/>
                <w:szCs w:val="18"/>
              </w:rPr>
            </w:pPr>
            <w:r w:rsidRPr="00C224D2">
              <w:rPr>
                <w:rFonts w:asciiTheme="minorHAnsi" w:hAnsiTheme="minorHAnsi" w:cstheme="minorHAnsi"/>
                <w:b/>
                <w:bCs/>
                <w:color w:val="000000"/>
                <w:sz w:val="18"/>
                <w:szCs w:val="18"/>
              </w:rPr>
              <w:t>35</w:t>
            </w:r>
          </w:p>
        </w:tc>
      </w:tr>
      <w:tr w:rsidR="00C224D2" w:rsidRPr="00C224D2" w14:paraId="0862DA55" w14:textId="77777777" w:rsidTr="00B96CF1">
        <w:trPr>
          <w:trHeight w:val="53"/>
          <w:jc w:val="center"/>
        </w:trPr>
        <w:tc>
          <w:tcPr>
            <w:tcW w:w="2329" w:type="dxa"/>
            <w:tcBorders>
              <w:top w:val="nil"/>
              <w:left w:val="single" w:sz="4" w:space="0" w:color="auto"/>
              <w:bottom w:val="single" w:sz="4" w:space="0" w:color="auto"/>
              <w:right w:val="single" w:sz="4" w:space="0" w:color="auto"/>
            </w:tcBorders>
            <w:shd w:val="clear" w:color="auto" w:fill="auto"/>
            <w:vAlign w:val="center"/>
            <w:hideMark/>
          </w:tcPr>
          <w:p w14:paraId="47B7312D" w14:textId="77777777" w:rsidR="00C224D2" w:rsidRPr="00C224D2" w:rsidRDefault="00C224D2" w:rsidP="00C224D2">
            <w:pPr>
              <w:overflowPunct/>
              <w:autoSpaceDE/>
              <w:autoSpaceDN/>
              <w:adjustRightInd/>
              <w:spacing w:after="0"/>
              <w:jc w:val="right"/>
              <w:textAlignment w:val="auto"/>
              <w:rPr>
                <w:rFonts w:asciiTheme="minorHAnsi" w:hAnsiTheme="minorHAnsi" w:cstheme="minorHAnsi"/>
                <w:b/>
                <w:bCs/>
                <w:color w:val="000000"/>
                <w:sz w:val="18"/>
                <w:szCs w:val="18"/>
              </w:rPr>
            </w:pPr>
            <w:r w:rsidRPr="00C224D2">
              <w:rPr>
                <w:rFonts w:asciiTheme="minorHAnsi" w:hAnsiTheme="minorHAnsi" w:cstheme="minorHAnsi"/>
                <w:b/>
                <w:bCs/>
                <w:color w:val="000000"/>
                <w:sz w:val="18"/>
                <w:szCs w:val="18"/>
              </w:rPr>
              <w:t>15kHz SCS NRB</w:t>
            </w:r>
          </w:p>
        </w:tc>
        <w:tc>
          <w:tcPr>
            <w:tcW w:w="680" w:type="dxa"/>
            <w:tcBorders>
              <w:top w:val="nil"/>
              <w:left w:val="nil"/>
              <w:bottom w:val="single" w:sz="4" w:space="0" w:color="auto"/>
              <w:right w:val="single" w:sz="4" w:space="0" w:color="auto"/>
            </w:tcBorders>
            <w:shd w:val="clear" w:color="auto" w:fill="auto"/>
            <w:vAlign w:val="center"/>
            <w:hideMark/>
          </w:tcPr>
          <w:p w14:paraId="59E6687B"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b/>
                <w:bCs/>
                <w:color w:val="000000"/>
                <w:sz w:val="18"/>
                <w:szCs w:val="18"/>
              </w:rPr>
            </w:pPr>
            <w:r w:rsidRPr="00C224D2">
              <w:rPr>
                <w:rFonts w:asciiTheme="minorHAnsi" w:hAnsiTheme="minorHAnsi" w:cstheme="minorHAnsi"/>
                <w:b/>
                <w:bCs/>
                <w:color w:val="000000"/>
                <w:sz w:val="18"/>
                <w:szCs w:val="18"/>
              </w:rPr>
              <w:t>25</w:t>
            </w:r>
          </w:p>
        </w:tc>
        <w:tc>
          <w:tcPr>
            <w:tcW w:w="680" w:type="dxa"/>
            <w:tcBorders>
              <w:top w:val="nil"/>
              <w:left w:val="nil"/>
              <w:bottom w:val="single" w:sz="4" w:space="0" w:color="auto"/>
              <w:right w:val="single" w:sz="4" w:space="0" w:color="auto"/>
            </w:tcBorders>
            <w:shd w:val="clear" w:color="auto" w:fill="auto"/>
            <w:vAlign w:val="center"/>
            <w:hideMark/>
          </w:tcPr>
          <w:p w14:paraId="77432E6A"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b/>
                <w:bCs/>
                <w:color w:val="000000"/>
                <w:sz w:val="18"/>
                <w:szCs w:val="18"/>
              </w:rPr>
            </w:pPr>
            <w:r w:rsidRPr="00C224D2">
              <w:rPr>
                <w:rFonts w:asciiTheme="minorHAnsi" w:hAnsiTheme="minorHAnsi" w:cstheme="minorHAnsi"/>
                <w:b/>
                <w:bCs/>
                <w:color w:val="000000"/>
                <w:sz w:val="18"/>
                <w:szCs w:val="18"/>
              </w:rPr>
              <w:t>52</w:t>
            </w:r>
          </w:p>
        </w:tc>
        <w:tc>
          <w:tcPr>
            <w:tcW w:w="620" w:type="dxa"/>
            <w:tcBorders>
              <w:top w:val="nil"/>
              <w:left w:val="nil"/>
              <w:bottom w:val="single" w:sz="4" w:space="0" w:color="auto"/>
              <w:right w:val="single" w:sz="4" w:space="0" w:color="auto"/>
            </w:tcBorders>
            <w:shd w:val="clear" w:color="auto" w:fill="auto"/>
            <w:vAlign w:val="center"/>
            <w:hideMark/>
          </w:tcPr>
          <w:p w14:paraId="6758A2C0"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b/>
                <w:bCs/>
                <w:color w:val="000000"/>
                <w:sz w:val="18"/>
                <w:szCs w:val="18"/>
              </w:rPr>
            </w:pPr>
            <w:r w:rsidRPr="00C224D2">
              <w:rPr>
                <w:rFonts w:asciiTheme="minorHAnsi" w:hAnsiTheme="minorHAnsi" w:cstheme="minorHAnsi"/>
                <w:b/>
                <w:bCs/>
                <w:color w:val="000000"/>
                <w:sz w:val="18"/>
                <w:szCs w:val="18"/>
              </w:rPr>
              <w:t>79</w:t>
            </w:r>
          </w:p>
        </w:tc>
        <w:tc>
          <w:tcPr>
            <w:tcW w:w="680" w:type="dxa"/>
            <w:tcBorders>
              <w:top w:val="nil"/>
              <w:left w:val="nil"/>
              <w:bottom w:val="single" w:sz="4" w:space="0" w:color="auto"/>
              <w:right w:val="single" w:sz="4" w:space="0" w:color="auto"/>
            </w:tcBorders>
            <w:shd w:val="clear" w:color="auto" w:fill="auto"/>
            <w:vAlign w:val="center"/>
            <w:hideMark/>
          </w:tcPr>
          <w:p w14:paraId="4E687E89"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b/>
                <w:bCs/>
                <w:color w:val="000000"/>
                <w:sz w:val="18"/>
                <w:szCs w:val="18"/>
              </w:rPr>
            </w:pPr>
            <w:r w:rsidRPr="00C224D2">
              <w:rPr>
                <w:rFonts w:asciiTheme="minorHAnsi" w:hAnsiTheme="minorHAnsi" w:cstheme="minorHAnsi"/>
                <w:b/>
                <w:bCs/>
                <w:color w:val="000000"/>
                <w:sz w:val="18"/>
                <w:szCs w:val="18"/>
              </w:rPr>
              <w:t>106</w:t>
            </w:r>
          </w:p>
        </w:tc>
        <w:tc>
          <w:tcPr>
            <w:tcW w:w="680" w:type="dxa"/>
            <w:tcBorders>
              <w:top w:val="nil"/>
              <w:left w:val="nil"/>
              <w:bottom w:val="single" w:sz="4" w:space="0" w:color="auto"/>
              <w:right w:val="single" w:sz="4" w:space="0" w:color="auto"/>
            </w:tcBorders>
            <w:shd w:val="clear" w:color="auto" w:fill="auto"/>
            <w:vAlign w:val="center"/>
            <w:hideMark/>
          </w:tcPr>
          <w:p w14:paraId="19CB1EFF"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b/>
                <w:bCs/>
                <w:color w:val="000000"/>
                <w:sz w:val="18"/>
                <w:szCs w:val="18"/>
              </w:rPr>
            </w:pPr>
            <w:r w:rsidRPr="00C224D2">
              <w:rPr>
                <w:rFonts w:asciiTheme="minorHAnsi" w:hAnsiTheme="minorHAnsi" w:cstheme="minorHAnsi"/>
                <w:b/>
                <w:bCs/>
                <w:color w:val="000000"/>
                <w:sz w:val="18"/>
                <w:szCs w:val="18"/>
              </w:rPr>
              <w:t>133</w:t>
            </w:r>
          </w:p>
        </w:tc>
        <w:tc>
          <w:tcPr>
            <w:tcW w:w="680" w:type="dxa"/>
            <w:tcBorders>
              <w:top w:val="nil"/>
              <w:left w:val="nil"/>
              <w:bottom w:val="single" w:sz="4" w:space="0" w:color="auto"/>
              <w:right w:val="single" w:sz="4" w:space="0" w:color="auto"/>
            </w:tcBorders>
            <w:shd w:val="clear" w:color="auto" w:fill="auto"/>
            <w:vAlign w:val="center"/>
            <w:hideMark/>
          </w:tcPr>
          <w:p w14:paraId="2070CC38"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b/>
                <w:bCs/>
                <w:color w:val="000000"/>
                <w:sz w:val="18"/>
                <w:szCs w:val="18"/>
              </w:rPr>
            </w:pPr>
            <w:r w:rsidRPr="00C224D2">
              <w:rPr>
                <w:rFonts w:asciiTheme="minorHAnsi" w:hAnsiTheme="minorHAnsi" w:cstheme="minorHAnsi"/>
                <w:b/>
                <w:bCs/>
                <w:color w:val="000000"/>
                <w:sz w:val="18"/>
                <w:szCs w:val="18"/>
              </w:rPr>
              <w:t>160</w:t>
            </w:r>
          </w:p>
        </w:tc>
        <w:tc>
          <w:tcPr>
            <w:tcW w:w="680" w:type="dxa"/>
            <w:tcBorders>
              <w:top w:val="nil"/>
              <w:left w:val="nil"/>
              <w:bottom w:val="single" w:sz="4" w:space="0" w:color="auto"/>
              <w:right w:val="single" w:sz="4" w:space="0" w:color="auto"/>
            </w:tcBorders>
            <w:shd w:val="clear" w:color="auto" w:fill="auto"/>
            <w:vAlign w:val="center"/>
            <w:hideMark/>
          </w:tcPr>
          <w:p w14:paraId="225740EF"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b/>
                <w:bCs/>
                <w:color w:val="000000"/>
                <w:sz w:val="18"/>
                <w:szCs w:val="18"/>
              </w:rPr>
            </w:pPr>
            <w:r w:rsidRPr="00C224D2">
              <w:rPr>
                <w:rFonts w:asciiTheme="minorHAnsi" w:hAnsiTheme="minorHAnsi" w:cstheme="minorHAnsi"/>
                <w:b/>
                <w:bCs/>
                <w:color w:val="000000"/>
                <w:sz w:val="18"/>
                <w:szCs w:val="18"/>
              </w:rPr>
              <w:t>188</w:t>
            </w:r>
          </w:p>
        </w:tc>
      </w:tr>
      <w:tr w:rsidR="00C224D2" w:rsidRPr="00C224D2" w14:paraId="782E3FDB" w14:textId="77777777" w:rsidTr="00B96CF1">
        <w:trPr>
          <w:trHeight w:val="53"/>
          <w:jc w:val="center"/>
        </w:trPr>
        <w:tc>
          <w:tcPr>
            <w:tcW w:w="2329" w:type="dxa"/>
            <w:tcBorders>
              <w:top w:val="nil"/>
              <w:left w:val="single" w:sz="4" w:space="0" w:color="auto"/>
              <w:bottom w:val="single" w:sz="4" w:space="0" w:color="auto"/>
              <w:right w:val="single" w:sz="4" w:space="0" w:color="auto"/>
            </w:tcBorders>
            <w:shd w:val="clear" w:color="auto" w:fill="auto"/>
            <w:vAlign w:val="center"/>
            <w:hideMark/>
          </w:tcPr>
          <w:p w14:paraId="535EA99F" w14:textId="77777777" w:rsidR="00C224D2" w:rsidRPr="00C224D2" w:rsidRDefault="00C224D2" w:rsidP="00C224D2">
            <w:pPr>
              <w:overflowPunct/>
              <w:autoSpaceDE/>
              <w:autoSpaceDN/>
              <w:adjustRightInd/>
              <w:spacing w:after="0"/>
              <w:jc w:val="right"/>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n71 15kHz REFSENS [dBm]</w:t>
            </w:r>
          </w:p>
        </w:tc>
        <w:tc>
          <w:tcPr>
            <w:tcW w:w="680" w:type="dxa"/>
            <w:tcBorders>
              <w:top w:val="nil"/>
              <w:left w:val="nil"/>
              <w:bottom w:val="single" w:sz="4" w:space="0" w:color="auto"/>
              <w:right w:val="single" w:sz="4" w:space="0" w:color="auto"/>
            </w:tcBorders>
            <w:shd w:val="clear" w:color="auto" w:fill="auto"/>
            <w:vAlign w:val="center"/>
            <w:hideMark/>
          </w:tcPr>
          <w:p w14:paraId="719E222F"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-97.2</w:t>
            </w:r>
          </w:p>
        </w:tc>
        <w:tc>
          <w:tcPr>
            <w:tcW w:w="680" w:type="dxa"/>
            <w:tcBorders>
              <w:top w:val="nil"/>
              <w:left w:val="nil"/>
              <w:bottom w:val="single" w:sz="4" w:space="0" w:color="auto"/>
              <w:right w:val="single" w:sz="4" w:space="0" w:color="auto"/>
            </w:tcBorders>
            <w:shd w:val="clear" w:color="auto" w:fill="auto"/>
            <w:vAlign w:val="center"/>
            <w:hideMark/>
          </w:tcPr>
          <w:p w14:paraId="5A9254B7"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-94</w:t>
            </w:r>
          </w:p>
        </w:tc>
        <w:tc>
          <w:tcPr>
            <w:tcW w:w="620" w:type="dxa"/>
            <w:tcBorders>
              <w:top w:val="nil"/>
              <w:left w:val="nil"/>
              <w:bottom w:val="single" w:sz="4" w:space="0" w:color="auto"/>
              <w:right w:val="single" w:sz="4" w:space="0" w:color="auto"/>
            </w:tcBorders>
            <w:shd w:val="clear" w:color="auto" w:fill="auto"/>
            <w:vAlign w:val="center"/>
            <w:hideMark/>
          </w:tcPr>
          <w:p w14:paraId="3AC8E332"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-91.6</w:t>
            </w:r>
          </w:p>
        </w:tc>
        <w:tc>
          <w:tcPr>
            <w:tcW w:w="680" w:type="dxa"/>
            <w:tcBorders>
              <w:top w:val="nil"/>
              <w:left w:val="nil"/>
              <w:bottom w:val="single" w:sz="4" w:space="0" w:color="auto"/>
              <w:right w:val="single" w:sz="4" w:space="0" w:color="auto"/>
            </w:tcBorders>
            <w:shd w:val="clear" w:color="auto" w:fill="auto"/>
            <w:vAlign w:val="center"/>
            <w:hideMark/>
          </w:tcPr>
          <w:p w14:paraId="47C0D286"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-86</w:t>
            </w:r>
          </w:p>
        </w:tc>
        <w:tc>
          <w:tcPr>
            <w:tcW w:w="680" w:type="dxa"/>
            <w:tcBorders>
              <w:top w:val="nil"/>
              <w:left w:val="nil"/>
              <w:bottom w:val="single" w:sz="4" w:space="0" w:color="auto"/>
              <w:right w:val="single" w:sz="4" w:space="0" w:color="auto"/>
            </w:tcBorders>
            <w:shd w:val="clear" w:color="auto" w:fill="auto"/>
            <w:vAlign w:val="center"/>
            <w:hideMark/>
          </w:tcPr>
          <w:p w14:paraId="4B5944F5"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-84.1</w:t>
            </w:r>
          </w:p>
        </w:tc>
        <w:tc>
          <w:tcPr>
            <w:tcW w:w="680" w:type="dxa"/>
            <w:tcBorders>
              <w:top w:val="nil"/>
              <w:left w:val="nil"/>
              <w:bottom w:val="single" w:sz="4" w:space="0" w:color="auto"/>
              <w:right w:val="single" w:sz="4" w:space="0" w:color="auto"/>
            </w:tcBorders>
            <w:shd w:val="clear" w:color="auto" w:fill="auto"/>
            <w:vAlign w:val="center"/>
            <w:hideMark/>
          </w:tcPr>
          <w:p w14:paraId="3AB74285"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-82.5</w:t>
            </w:r>
          </w:p>
        </w:tc>
        <w:tc>
          <w:tcPr>
            <w:tcW w:w="680" w:type="dxa"/>
            <w:tcBorders>
              <w:top w:val="nil"/>
              <w:left w:val="nil"/>
              <w:bottom w:val="single" w:sz="4" w:space="0" w:color="auto"/>
              <w:right w:val="single" w:sz="4" w:space="0" w:color="auto"/>
            </w:tcBorders>
            <w:shd w:val="clear" w:color="auto" w:fill="auto"/>
            <w:vAlign w:val="center"/>
            <w:hideMark/>
          </w:tcPr>
          <w:p w14:paraId="237FC827"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-80.7</w:t>
            </w:r>
          </w:p>
        </w:tc>
      </w:tr>
      <w:tr w:rsidR="00C224D2" w:rsidRPr="00C224D2" w14:paraId="1C3162A9" w14:textId="77777777" w:rsidTr="00B96CF1">
        <w:trPr>
          <w:trHeight w:val="53"/>
          <w:jc w:val="center"/>
        </w:trPr>
        <w:tc>
          <w:tcPr>
            <w:tcW w:w="2329" w:type="dxa"/>
            <w:tcBorders>
              <w:top w:val="nil"/>
              <w:left w:val="single" w:sz="4" w:space="0" w:color="auto"/>
              <w:bottom w:val="single" w:sz="4" w:space="0" w:color="auto"/>
              <w:right w:val="single" w:sz="4" w:space="0" w:color="auto"/>
            </w:tcBorders>
            <w:shd w:val="clear" w:color="auto" w:fill="auto"/>
            <w:vAlign w:val="center"/>
            <w:hideMark/>
          </w:tcPr>
          <w:p w14:paraId="21549D89" w14:textId="77777777" w:rsidR="00C224D2" w:rsidRPr="00C224D2" w:rsidRDefault="00C224D2" w:rsidP="00C224D2">
            <w:pPr>
              <w:overflowPunct/>
              <w:autoSpaceDE/>
              <w:autoSpaceDN/>
              <w:adjustRightInd/>
              <w:spacing w:after="0"/>
              <w:jc w:val="right"/>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Scaled from 5MHz [dBm]</w:t>
            </w:r>
          </w:p>
        </w:tc>
        <w:tc>
          <w:tcPr>
            <w:tcW w:w="680" w:type="dxa"/>
            <w:tcBorders>
              <w:top w:val="nil"/>
              <w:left w:val="nil"/>
              <w:bottom w:val="single" w:sz="4" w:space="0" w:color="auto"/>
              <w:right w:val="single" w:sz="4" w:space="0" w:color="auto"/>
            </w:tcBorders>
            <w:shd w:val="clear" w:color="auto" w:fill="auto"/>
            <w:vAlign w:val="center"/>
            <w:hideMark/>
          </w:tcPr>
          <w:p w14:paraId="462C56AD"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-97.2</w:t>
            </w:r>
          </w:p>
        </w:tc>
        <w:tc>
          <w:tcPr>
            <w:tcW w:w="680" w:type="dxa"/>
            <w:tcBorders>
              <w:top w:val="nil"/>
              <w:left w:val="nil"/>
              <w:bottom w:val="single" w:sz="4" w:space="0" w:color="auto"/>
              <w:right w:val="single" w:sz="4" w:space="0" w:color="auto"/>
            </w:tcBorders>
            <w:shd w:val="clear" w:color="auto" w:fill="auto"/>
            <w:vAlign w:val="center"/>
            <w:hideMark/>
          </w:tcPr>
          <w:p w14:paraId="2E0616BF"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-94.0</w:t>
            </w:r>
          </w:p>
        </w:tc>
        <w:tc>
          <w:tcPr>
            <w:tcW w:w="620" w:type="dxa"/>
            <w:tcBorders>
              <w:top w:val="nil"/>
              <w:left w:val="nil"/>
              <w:bottom w:val="single" w:sz="4" w:space="0" w:color="auto"/>
              <w:right w:val="single" w:sz="4" w:space="0" w:color="auto"/>
            </w:tcBorders>
            <w:shd w:val="clear" w:color="auto" w:fill="auto"/>
            <w:vAlign w:val="center"/>
            <w:hideMark/>
          </w:tcPr>
          <w:p w14:paraId="3AA36671"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-92.2</w:t>
            </w:r>
          </w:p>
        </w:tc>
        <w:tc>
          <w:tcPr>
            <w:tcW w:w="680" w:type="dxa"/>
            <w:tcBorders>
              <w:top w:val="nil"/>
              <w:left w:val="nil"/>
              <w:bottom w:val="single" w:sz="4" w:space="0" w:color="auto"/>
              <w:right w:val="single" w:sz="4" w:space="0" w:color="auto"/>
            </w:tcBorders>
            <w:shd w:val="clear" w:color="auto" w:fill="auto"/>
            <w:vAlign w:val="center"/>
            <w:hideMark/>
          </w:tcPr>
          <w:p w14:paraId="299DDAB6"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-90.9</w:t>
            </w:r>
          </w:p>
        </w:tc>
        <w:tc>
          <w:tcPr>
            <w:tcW w:w="680" w:type="dxa"/>
            <w:tcBorders>
              <w:top w:val="nil"/>
              <w:left w:val="nil"/>
              <w:bottom w:val="single" w:sz="4" w:space="0" w:color="auto"/>
              <w:right w:val="single" w:sz="4" w:space="0" w:color="auto"/>
            </w:tcBorders>
            <w:shd w:val="clear" w:color="auto" w:fill="auto"/>
            <w:vAlign w:val="center"/>
            <w:hideMark/>
          </w:tcPr>
          <w:p w14:paraId="27DC53E8"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-89.9</w:t>
            </w:r>
          </w:p>
        </w:tc>
        <w:tc>
          <w:tcPr>
            <w:tcW w:w="680" w:type="dxa"/>
            <w:tcBorders>
              <w:top w:val="nil"/>
              <w:left w:val="nil"/>
              <w:bottom w:val="single" w:sz="4" w:space="0" w:color="auto"/>
              <w:right w:val="single" w:sz="4" w:space="0" w:color="auto"/>
            </w:tcBorders>
            <w:shd w:val="clear" w:color="auto" w:fill="auto"/>
            <w:vAlign w:val="center"/>
            <w:hideMark/>
          </w:tcPr>
          <w:p w14:paraId="4A8BB250"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-89.1</w:t>
            </w:r>
          </w:p>
        </w:tc>
        <w:tc>
          <w:tcPr>
            <w:tcW w:w="680" w:type="dxa"/>
            <w:tcBorders>
              <w:top w:val="nil"/>
              <w:left w:val="nil"/>
              <w:bottom w:val="single" w:sz="4" w:space="0" w:color="auto"/>
              <w:right w:val="single" w:sz="4" w:space="0" w:color="auto"/>
            </w:tcBorders>
            <w:shd w:val="clear" w:color="auto" w:fill="auto"/>
            <w:vAlign w:val="center"/>
            <w:hideMark/>
          </w:tcPr>
          <w:p w14:paraId="6C448864"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-88.4</w:t>
            </w:r>
          </w:p>
        </w:tc>
      </w:tr>
      <w:tr w:rsidR="00C224D2" w:rsidRPr="00C224D2" w14:paraId="79544EFE" w14:textId="77777777" w:rsidTr="00B96CF1">
        <w:trPr>
          <w:trHeight w:val="53"/>
          <w:jc w:val="center"/>
        </w:trPr>
        <w:tc>
          <w:tcPr>
            <w:tcW w:w="2329" w:type="dxa"/>
            <w:tcBorders>
              <w:top w:val="nil"/>
              <w:left w:val="single" w:sz="4" w:space="0" w:color="auto"/>
              <w:bottom w:val="single" w:sz="4" w:space="0" w:color="auto"/>
              <w:right w:val="single" w:sz="4" w:space="0" w:color="auto"/>
            </w:tcBorders>
            <w:shd w:val="clear" w:color="auto" w:fill="auto"/>
            <w:vAlign w:val="center"/>
            <w:hideMark/>
          </w:tcPr>
          <w:p w14:paraId="2DA2AA76" w14:textId="77777777" w:rsidR="00C224D2" w:rsidRPr="00C224D2" w:rsidRDefault="00C224D2" w:rsidP="00C224D2">
            <w:pPr>
              <w:overflowPunct/>
              <w:autoSpaceDE/>
              <w:autoSpaceDN/>
              <w:adjustRightInd/>
              <w:spacing w:after="0"/>
              <w:jc w:val="right"/>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delta vs scalled [dB]</w:t>
            </w:r>
          </w:p>
        </w:tc>
        <w:tc>
          <w:tcPr>
            <w:tcW w:w="680" w:type="dxa"/>
            <w:tcBorders>
              <w:top w:val="nil"/>
              <w:left w:val="nil"/>
              <w:bottom w:val="single" w:sz="4" w:space="0" w:color="auto"/>
              <w:right w:val="single" w:sz="4" w:space="0" w:color="auto"/>
            </w:tcBorders>
            <w:shd w:val="clear" w:color="000000" w:fill="00B050"/>
            <w:vAlign w:val="center"/>
            <w:hideMark/>
          </w:tcPr>
          <w:p w14:paraId="54724C21"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0.0</w:t>
            </w:r>
          </w:p>
        </w:tc>
        <w:tc>
          <w:tcPr>
            <w:tcW w:w="680" w:type="dxa"/>
            <w:tcBorders>
              <w:top w:val="nil"/>
              <w:left w:val="nil"/>
              <w:bottom w:val="single" w:sz="4" w:space="0" w:color="auto"/>
              <w:right w:val="single" w:sz="4" w:space="0" w:color="auto"/>
            </w:tcBorders>
            <w:shd w:val="clear" w:color="000000" w:fill="00B050"/>
            <w:vAlign w:val="center"/>
            <w:hideMark/>
          </w:tcPr>
          <w:p w14:paraId="3FDF70F8"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0.0</w:t>
            </w:r>
          </w:p>
        </w:tc>
        <w:tc>
          <w:tcPr>
            <w:tcW w:w="620" w:type="dxa"/>
            <w:tcBorders>
              <w:top w:val="nil"/>
              <w:left w:val="nil"/>
              <w:bottom w:val="single" w:sz="4" w:space="0" w:color="auto"/>
              <w:right w:val="single" w:sz="4" w:space="0" w:color="auto"/>
            </w:tcBorders>
            <w:shd w:val="clear" w:color="000000" w:fill="92D050"/>
            <w:vAlign w:val="center"/>
            <w:hideMark/>
          </w:tcPr>
          <w:p w14:paraId="79FDB1E8"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0.6</w:t>
            </w:r>
          </w:p>
        </w:tc>
        <w:tc>
          <w:tcPr>
            <w:tcW w:w="680" w:type="dxa"/>
            <w:tcBorders>
              <w:top w:val="nil"/>
              <w:left w:val="nil"/>
              <w:bottom w:val="single" w:sz="4" w:space="0" w:color="auto"/>
              <w:right w:val="single" w:sz="4" w:space="0" w:color="auto"/>
            </w:tcBorders>
            <w:shd w:val="clear" w:color="000000" w:fill="FF0000"/>
            <w:vAlign w:val="center"/>
            <w:hideMark/>
          </w:tcPr>
          <w:p w14:paraId="149F0CFE"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4.9</w:t>
            </w:r>
          </w:p>
        </w:tc>
        <w:tc>
          <w:tcPr>
            <w:tcW w:w="680" w:type="dxa"/>
            <w:tcBorders>
              <w:top w:val="nil"/>
              <w:left w:val="nil"/>
              <w:bottom w:val="single" w:sz="4" w:space="0" w:color="auto"/>
              <w:right w:val="single" w:sz="4" w:space="0" w:color="auto"/>
            </w:tcBorders>
            <w:shd w:val="clear" w:color="000000" w:fill="FF0000"/>
            <w:vAlign w:val="center"/>
            <w:hideMark/>
          </w:tcPr>
          <w:p w14:paraId="34C21B8E"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5.8</w:t>
            </w:r>
          </w:p>
        </w:tc>
        <w:tc>
          <w:tcPr>
            <w:tcW w:w="680" w:type="dxa"/>
            <w:tcBorders>
              <w:top w:val="nil"/>
              <w:left w:val="nil"/>
              <w:bottom w:val="single" w:sz="4" w:space="0" w:color="auto"/>
              <w:right w:val="single" w:sz="4" w:space="0" w:color="auto"/>
            </w:tcBorders>
            <w:shd w:val="clear" w:color="000000" w:fill="FF0000"/>
            <w:vAlign w:val="center"/>
            <w:hideMark/>
          </w:tcPr>
          <w:p w14:paraId="15A7E1AB"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6.6</w:t>
            </w:r>
          </w:p>
        </w:tc>
        <w:tc>
          <w:tcPr>
            <w:tcW w:w="680" w:type="dxa"/>
            <w:tcBorders>
              <w:top w:val="nil"/>
              <w:left w:val="nil"/>
              <w:bottom w:val="single" w:sz="4" w:space="0" w:color="auto"/>
              <w:right w:val="single" w:sz="4" w:space="0" w:color="auto"/>
            </w:tcBorders>
            <w:shd w:val="clear" w:color="000000" w:fill="FF0000"/>
            <w:vAlign w:val="center"/>
            <w:hideMark/>
          </w:tcPr>
          <w:p w14:paraId="648910BF"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7.7</w:t>
            </w:r>
          </w:p>
        </w:tc>
      </w:tr>
      <w:tr w:rsidR="00C224D2" w:rsidRPr="00C224D2" w14:paraId="06EAB388" w14:textId="77777777" w:rsidTr="00B96CF1">
        <w:trPr>
          <w:trHeight w:val="53"/>
          <w:jc w:val="center"/>
        </w:trPr>
        <w:tc>
          <w:tcPr>
            <w:tcW w:w="2329" w:type="dxa"/>
            <w:tcBorders>
              <w:top w:val="nil"/>
              <w:left w:val="single" w:sz="4" w:space="0" w:color="auto"/>
              <w:bottom w:val="single" w:sz="4" w:space="0" w:color="auto"/>
              <w:right w:val="single" w:sz="4" w:space="0" w:color="auto"/>
            </w:tcBorders>
            <w:shd w:val="clear" w:color="auto" w:fill="auto"/>
            <w:noWrap/>
            <w:vAlign w:val="bottom"/>
            <w:hideMark/>
          </w:tcPr>
          <w:p w14:paraId="32675DC9" w14:textId="77777777" w:rsidR="00C224D2" w:rsidRPr="00C224D2" w:rsidRDefault="00C224D2" w:rsidP="00C224D2">
            <w:pPr>
              <w:overflowPunct/>
              <w:autoSpaceDE/>
              <w:autoSpaceDN/>
              <w:adjustRightInd/>
              <w:spacing w:after="0"/>
              <w:jc w:val="right"/>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delta UL vs thermal [dB]</w:t>
            </w:r>
          </w:p>
        </w:tc>
        <w:tc>
          <w:tcPr>
            <w:tcW w:w="680" w:type="dxa"/>
            <w:tcBorders>
              <w:top w:val="nil"/>
              <w:left w:val="nil"/>
              <w:bottom w:val="single" w:sz="4" w:space="0" w:color="auto"/>
              <w:right w:val="single" w:sz="4" w:space="0" w:color="auto"/>
            </w:tcBorders>
            <w:shd w:val="clear" w:color="auto" w:fill="auto"/>
            <w:noWrap/>
            <w:vAlign w:val="bottom"/>
            <w:hideMark/>
          </w:tcPr>
          <w:p w14:paraId="4285B712"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NA</w:t>
            </w:r>
          </w:p>
        </w:tc>
        <w:tc>
          <w:tcPr>
            <w:tcW w:w="680" w:type="dxa"/>
            <w:tcBorders>
              <w:top w:val="nil"/>
              <w:left w:val="nil"/>
              <w:bottom w:val="single" w:sz="4" w:space="0" w:color="auto"/>
              <w:right w:val="single" w:sz="4" w:space="0" w:color="auto"/>
            </w:tcBorders>
            <w:shd w:val="clear" w:color="auto" w:fill="auto"/>
            <w:noWrap/>
            <w:vAlign w:val="bottom"/>
            <w:hideMark/>
          </w:tcPr>
          <w:p w14:paraId="1ECCF938"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NA</w:t>
            </w:r>
          </w:p>
        </w:tc>
        <w:tc>
          <w:tcPr>
            <w:tcW w:w="620" w:type="dxa"/>
            <w:tcBorders>
              <w:top w:val="nil"/>
              <w:left w:val="nil"/>
              <w:bottom w:val="single" w:sz="4" w:space="0" w:color="auto"/>
              <w:right w:val="single" w:sz="4" w:space="0" w:color="auto"/>
            </w:tcBorders>
            <w:shd w:val="clear" w:color="auto" w:fill="auto"/>
            <w:noWrap/>
            <w:vAlign w:val="bottom"/>
            <w:hideMark/>
          </w:tcPr>
          <w:p w14:paraId="38819E5A"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-8.3</w:t>
            </w:r>
          </w:p>
        </w:tc>
        <w:tc>
          <w:tcPr>
            <w:tcW w:w="680" w:type="dxa"/>
            <w:tcBorders>
              <w:top w:val="nil"/>
              <w:left w:val="nil"/>
              <w:bottom w:val="single" w:sz="4" w:space="0" w:color="auto"/>
              <w:right w:val="single" w:sz="4" w:space="0" w:color="auto"/>
            </w:tcBorders>
            <w:shd w:val="clear" w:color="auto" w:fill="auto"/>
            <w:noWrap/>
            <w:vAlign w:val="bottom"/>
            <w:hideMark/>
          </w:tcPr>
          <w:p w14:paraId="5FA4C7B2"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3.2</w:t>
            </w:r>
          </w:p>
        </w:tc>
        <w:tc>
          <w:tcPr>
            <w:tcW w:w="680" w:type="dxa"/>
            <w:tcBorders>
              <w:top w:val="nil"/>
              <w:left w:val="nil"/>
              <w:bottom w:val="single" w:sz="4" w:space="0" w:color="auto"/>
              <w:right w:val="single" w:sz="4" w:space="0" w:color="auto"/>
            </w:tcBorders>
            <w:shd w:val="clear" w:color="auto" w:fill="auto"/>
            <w:noWrap/>
            <w:vAlign w:val="bottom"/>
            <w:hideMark/>
          </w:tcPr>
          <w:p w14:paraId="4F8DF22C"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4.5</w:t>
            </w:r>
          </w:p>
        </w:tc>
        <w:tc>
          <w:tcPr>
            <w:tcW w:w="680" w:type="dxa"/>
            <w:tcBorders>
              <w:top w:val="nil"/>
              <w:left w:val="nil"/>
              <w:bottom w:val="single" w:sz="4" w:space="0" w:color="auto"/>
              <w:right w:val="single" w:sz="4" w:space="0" w:color="auto"/>
            </w:tcBorders>
            <w:shd w:val="clear" w:color="auto" w:fill="auto"/>
            <w:noWrap/>
            <w:vAlign w:val="bottom"/>
            <w:hideMark/>
          </w:tcPr>
          <w:p w14:paraId="13905B27"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5.5</w:t>
            </w:r>
          </w:p>
        </w:tc>
        <w:tc>
          <w:tcPr>
            <w:tcW w:w="680" w:type="dxa"/>
            <w:tcBorders>
              <w:top w:val="nil"/>
              <w:left w:val="nil"/>
              <w:bottom w:val="single" w:sz="4" w:space="0" w:color="auto"/>
              <w:right w:val="single" w:sz="4" w:space="0" w:color="auto"/>
            </w:tcBorders>
            <w:shd w:val="clear" w:color="auto" w:fill="auto"/>
            <w:noWrap/>
            <w:vAlign w:val="bottom"/>
            <w:hideMark/>
          </w:tcPr>
          <w:p w14:paraId="2405A07D"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6.9</w:t>
            </w:r>
          </w:p>
        </w:tc>
      </w:tr>
      <w:tr w:rsidR="00C224D2" w:rsidRPr="00C224D2" w14:paraId="0B4F78D3" w14:textId="77777777" w:rsidTr="00B96CF1">
        <w:trPr>
          <w:trHeight w:val="53"/>
          <w:jc w:val="center"/>
        </w:trPr>
        <w:tc>
          <w:tcPr>
            <w:tcW w:w="2329" w:type="dxa"/>
            <w:tcBorders>
              <w:top w:val="nil"/>
              <w:left w:val="single" w:sz="4" w:space="0" w:color="auto"/>
              <w:bottom w:val="single" w:sz="4" w:space="0" w:color="auto"/>
              <w:right w:val="single" w:sz="4" w:space="0" w:color="auto"/>
            </w:tcBorders>
            <w:shd w:val="clear" w:color="auto" w:fill="00B0F0"/>
            <w:noWrap/>
            <w:vAlign w:val="bottom"/>
            <w:hideMark/>
          </w:tcPr>
          <w:p w14:paraId="74F60CE5" w14:textId="77777777" w:rsidR="00C224D2" w:rsidRPr="00C224D2" w:rsidRDefault="00C224D2" w:rsidP="00C224D2">
            <w:pPr>
              <w:overflowPunct/>
              <w:autoSpaceDE/>
              <w:autoSpaceDN/>
              <w:adjustRightInd/>
              <w:spacing w:after="0"/>
              <w:jc w:val="right"/>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n105 15kHz REFSENS [dBm]</w:t>
            </w:r>
          </w:p>
        </w:tc>
        <w:tc>
          <w:tcPr>
            <w:tcW w:w="680" w:type="dxa"/>
            <w:tcBorders>
              <w:top w:val="nil"/>
              <w:left w:val="nil"/>
              <w:bottom w:val="single" w:sz="4" w:space="0" w:color="auto"/>
              <w:right w:val="single" w:sz="4" w:space="0" w:color="auto"/>
            </w:tcBorders>
            <w:shd w:val="clear" w:color="auto" w:fill="00B0F0"/>
            <w:noWrap/>
            <w:vAlign w:val="bottom"/>
            <w:hideMark/>
          </w:tcPr>
          <w:p w14:paraId="1E5998A4"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-97.2</w:t>
            </w:r>
          </w:p>
        </w:tc>
        <w:tc>
          <w:tcPr>
            <w:tcW w:w="680" w:type="dxa"/>
            <w:tcBorders>
              <w:top w:val="nil"/>
              <w:left w:val="nil"/>
              <w:bottom w:val="single" w:sz="4" w:space="0" w:color="auto"/>
              <w:right w:val="single" w:sz="4" w:space="0" w:color="auto"/>
            </w:tcBorders>
            <w:shd w:val="clear" w:color="auto" w:fill="00B0F0"/>
            <w:noWrap/>
            <w:vAlign w:val="bottom"/>
            <w:hideMark/>
          </w:tcPr>
          <w:p w14:paraId="6E419155"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-94.0</w:t>
            </w:r>
          </w:p>
        </w:tc>
        <w:tc>
          <w:tcPr>
            <w:tcW w:w="620" w:type="dxa"/>
            <w:tcBorders>
              <w:top w:val="nil"/>
              <w:left w:val="nil"/>
              <w:bottom w:val="single" w:sz="4" w:space="0" w:color="auto"/>
              <w:right w:val="single" w:sz="4" w:space="0" w:color="auto"/>
            </w:tcBorders>
            <w:shd w:val="clear" w:color="auto" w:fill="00B0F0"/>
            <w:noWrap/>
            <w:vAlign w:val="bottom"/>
            <w:hideMark/>
          </w:tcPr>
          <w:p w14:paraId="64716E33"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-91.9</w:t>
            </w:r>
          </w:p>
        </w:tc>
        <w:tc>
          <w:tcPr>
            <w:tcW w:w="680" w:type="dxa"/>
            <w:tcBorders>
              <w:top w:val="nil"/>
              <w:left w:val="nil"/>
              <w:bottom w:val="single" w:sz="4" w:space="0" w:color="auto"/>
              <w:right w:val="single" w:sz="4" w:space="0" w:color="auto"/>
            </w:tcBorders>
            <w:shd w:val="clear" w:color="auto" w:fill="00B0F0"/>
            <w:noWrap/>
            <w:vAlign w:val="bottom"/>
            <w:hideMark/>
          </w:tcPr>
          <w:p w14:paraId="6E9D9256"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-89.1</w:t>
            </w:r>
          </w:p>
        </w:tc>
        <w:tc>
          <w:tcPr>
            <w:tcW w:w="680" w:type="dxa"/>
            <w:tcBorders>
              <w:top w:val="nil"/>
              <w:left w:val="nil"/>
              <w:bottom w:val="single" w:sz="4" w:space="0" w:color="auto"/>
              <w:right w:val="single" w:sz="4" w:space="0" w:color="auto"/>
            </w:tcBorders>
            <w:shd w:val="clear" w:color="auto" w:fill="00B0F0"/>
            <w:noWrap/>
            <w:vAlign w:val="bottom"/>
            <w:hideMark/>
          </w:tcPr>
          <w:p w14:paraId="2E03D817"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-87.3</w:t>
            </w:r>
          </w:p>
        </w:tc>
        <w:tc>
          <w:tcPr>
            <w:tcW w:w="680" w:type="dxa"/>
            <w:tcBorders>
              <w:top w:val="nil"/>
              <w:left w:val="nil"/>
              <w:bottom w:val="single" w:sz="4" w:space="0" w:color="auto"/>
              <w:right w:val="single" w:sz="4" w:space="0" w:color="auto"/>
            </w:tcBorders>
            <w:shd w:val="clear" w:color="auto" w:fill="00B0F0"/>
            <w:noWrap/>
            <w:vAlign w:val="bottom"/>
            <w:hideMark/>
          </w:tcPr>
          <w:p w14:paraId="6485C517"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-85.3</w:t>
            </w:r>
          </w:p>
        </w:tc>
        <w:tc>
          <w:tcPr>
            <w:tcW w:w="680" w:type="dxa"/>
            <w:tcBorders>
              <w:top w:val="nil"/>
              <w:left w:val="nil"/>
              <w:bottom w:val="single" w:sz="4" w:space="0" w:color="auto"/>
              <w:right w:val="single" w:sz="4" w:space="0" w:color="auto"/>
            </w:tcBorders>
            <w:shd w:val="clear" w:color="auto" w:fill="00B0F0"/>
            <w:noWrap/>
            <w:vAlign w:val="bottom"/>
            <w:hideMark/>
          </w:tcPr>
          <w:p w14:paraId="7AE70248"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-83.6</w:t>
            </w:r>
          </w:p>
        </w:tc>
      </w:tr>
      <w:tr w:rsidR="00C224D2" w:rsidRPr="00C224D2" w14:paraId="34487634" w14:textId="77777777" w:rsidTr="00B96CF1">
        <w:trPr>
          <w:trHeight w:val="53"/>
          <w:jc w:val="center"/>
        </w:trPr>
        <w:tc>
          <w:tcPr>
            <w:tcW w:w="2329" w:type="dxa"/>
            <w:tcBorders>
              <w:top w:val="nil"/>
              <w:left w:val="single" w:sz="4" w:space="0" w:color="auto"/>
              <w:bottom w:val="single" w:sz="4" w:space="0" w:color="auto"/>
              <w:right w:val="single" w:sz="4" w:space="0" w:color="auto"/>
            </w:tcBorders>
            <w:shd w:val="clear" w:color="auto" w:fill="auto"/>
            <w:noWrap/>
            <w:vAlign w:val="bottom"/>
            <w:hideMark/>
          </w:tcPr>
          <w:p w14:paraId="02DAE317" w14:textId="77777777" w:rsidR="00C224D2" w:rsidRPr="00C224D2" w:rsidRDefault="00C224D2" w:rsidP="00C224D2">
            <w:pPr>
              <w:overflowPunct/>
              <w:autoSpaceDE/>
              <w:autoSpaceDN/>
              <w:adjustRightInd/>
              <w:spacing w:after="0"/>
              <w:jc w:val="right"/>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Delta n105 vs n71[dB]</w:t>
            </w:r>
          </w:p>
        </w:tc>
        <w:tc>
          <w:tcPr>
            <w:tcW w:w="680" w:type="dxa"/>
            <w:tcBorders>
              <w:top w:val="nil"/>
              <w:left w:val="nil"/>
              <w:bottom w:val="single" w:sz="4" w:space="0" w:color="auto"/>
              <w:right w:val="single" w:sz="4" w:space="0" w:color="auto"/>
            </w:tcBorders>
            <w:shd w:val="clear" w:color="auto" w:fill="auto"/>
            <w:noWrap/>
            <w:vAlign w:val="bottom"/>
            <w:hideMark/>
          </w:tcPr>
          <w:p w14:paraId="224691D2"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0.0</w:t>
            </w:r>
          </w:p>
        </w:tc>
        <w:tc>
          <w:tcPr>
            <w:tcW w:w="680" w:type="dxa"/>
            <w:tcBorders>
              <w:top w:val="nil"/>
              <w:left w:val="nil"/>
              <w:bottom w:val="single" w:sz="4" w:space="0" w:color="auto"/>
              <w:right w:val="single" w:sz="4" w:space="0" w:color="auto"/>
            </w:tcBorders>
            <w:shd w:val="clear" w:color="auto" w:fill="auto"/>
            <w:noWrap/>
            <w:vAlign w:val="bottom"/>
            <w:hideMark/>
          </w:tcPr>
          <w:p w14:paraId="0854DC11"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0.0</w:t>
            </w:r>
          </w:p>
        </w:tc>
        <w:tc>
          <w:tcPr>
            <w:tcW w:w="620" w:type="dxa"/>
            <w:tcBorders>
              <w:top w:val="nil"/>
              <w:left w:val="nil"/>
              <w:bottom w:val="single" w:sz="4" w:space="0" w:color="auto"/>
              <w:right w:val="single" w:sz="4" w:space="0" w:color="auto"/>
            </w:tcBorders>
            <w:shd w:val="clear" w:color="auto" w:fill="auto"/>
            <w:noWrap/>
            <w:vAlign w:val="bottom"/>
            <w:hideMark/>
          </w:tcPr>
          <w:p w14:paraId="3A8B3A30"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-0.3</w:t>
            </w:r>
          </w:p>
        </w:tc>
        <w:tc>
          <w:tcPr>
            <w:tcW w:w="680" w:type="dxa"/>
            <w:tcBorders>
              <w:top w:val="nil"/>
              <w:left w:val="nil"/>
              <w:bottom w:val="single" w:sz="4" w:space="0" w:color="auto"/>
              <w:right w:val="single" w:sz="4" w:space="0" w:color="auto"/>
            </w:tcBorders>
            <w:shd w:val="clear" w:color="auto" w:fill="auto"/>
            <w:noWrap/>
            <w:vAlign w:val="bottom"/>
            <w:hideMark/>
          </w:tcPr>
          <w:p w14:paraId="0A441E41" w14:textId="77777777" w:rsidR="00C224D2" w:rsidRPr="00293BD2" w:rsidRDefault="00C224D2" w:rsidP="00C224D2">
            <w:pPr>
              <w:overflowPunct/>
              <w:autoSpaceDE/>
              <w:autoSpaceDN/>
              <w:adjustRightInd/>
              <w:spacing w:after="0"/>
              <w:jc w:val="center"/>
              <w:textAlignment w:val="auto"/>
              <w:rPr>
                <w:rFonts w:asciiTheme="minorHAnsi" w:hAnsiTheme="minorHAnsi" w:cstheme="minorHAnsi"/>
                <w:color w:val="000000"/>
                <w:sz w:val="18"/>
                <w:szCs w:val="18"/>
                <w:highlight w:val="yellow"/>
              </w:rPr>
            </w:pPr>
            <w:r w:rsidRPr="00293BD2">
              <w:rPr>
                <w:rFonts w:asciiTheme="minorHAnsi" w:hAnsiTheme="minorHAnsi" w:cstheme="minorHAnsi"/>
                <w:color w:val="000000"/>
                <w:sz w:val="18"/>
                <w:szCs w:val="18"/>
                <w:highlight w:val="yellow"/>
              </w:rPr>
              <w:t>-3.1</w:t>
            </w:r>
          </w:p>
        </w:tc>
        <w:tc>
          <w:tcPr>
            <w:tcW w:w="680" w:type="dxa"/>
            <w:tcBorders>
              <w:top w:val="nil"/>
              <w:left w:val="nil"/>
              <w:bottom w:val="single" w:sz="4" w:space="0" w:color="auto"/>
              <w:right w:val="single" w:sz="4" w:space="0" w:color="auto"/>
            </w:tcBorders>
            <w:shd w:val="clear" w:color="auto" w:fill="auto"/>
            <w:noWrap/>
            <w:vAlign w:val="bottom"/>
            <w:hideMark/>
          </w:tcPr>
          <w:p w14:paraId="72495CC8" w14:textId="77777777" w:rsidR="00C224D2" w:rsidRPr="00293BD2" w:rsidRDefault="00C224D2" w:rsidP="00C224D2">
            <w:pPr>
              <w:overflowPunct/>
              <w:autoSpaceDE/>
              <w:autoSpaceDN/>
              <w:adjustRightInd/>
              <w:spacing w:after="0"/>
              <w:jc w:val="center"/>
              <w:textAlignment w:val="auto"/>
              <w:rPr>
                <w:rFonts w:asciiTheme="minorHAnsi" w:hAnsiTheme="minorHAnsi" w:cstheme="minorHAnsi"/>
                <w:color w:val="000000"/>
                <w:sz w:val="18"/>
                <w:szCs w:val="18"/>
                <w:highlight w:val="yellow"/>
              </w:rPr>
            </w:pPr>
            <w:r w:rsidRPr="00293BD2">
              <w:rPr>
                <w:rFonts w:asciiTheme="minorHAnsi" w:hAnsiTheme="minorHAnsi" w:cstheme="minorHAnsi"/>
                <w:color w:val="000000"/>
                <w:sz w:val="18"/>
                <w:szCs w:val="18"/>
                <w:highlight w:val="yellow"/>
              </w:rPr>
              <w:t>-3.2</w:t>
            </w:r>
          </w:p>
        </w:tc>
        <w:tc>
          <w:tcPr>
            <w:tcW w:w="680" w:type="dxa"/>
            <w:tcBorders>
              <w:top w:val="nil"/>
              <w:left w:val="nil"/>
              <w:bottom w:val="single" w:sz="4" w:space="0" w:color="auto"/>
              <w:right w:val="single" w:sz="4" w:space="0" w:color="auto"/>
            </w:tcBorders>
            <w:shd w:val="clear" w:color="auto" w:fill="auto"/>
            <w:noWrap/>
            <w:vAlign w:val="bottom"/>
            <w:hideMark/>
          </w:tcPr>
          <w:p w14:paraId="03795534" w14:textId="77777777" w:rsidR="00C224D2" w:rsidRPr="00293BD2" w:rsidRDefault="00C224D2" w:rsidP="00C224D2">
            <w:pPr>
              <w:overflowPunct/>
              <w:autoSpaceDE/>
              <w:autoSpaceDN/>
              <w:adjustRightInd/>
              <w:spacing w:after="0"/>
              <w:jc w:val="center"/>
              <w:textAlignment w:val="auto"/>
              <w:rPr>
                <w:rFonts w:asciiTheme="minorHAnsi" w:hAnsiTheme="minorHAnsi" w:cstheme="minorHAnsi"/>
                <w:color w:val="000000"/>
                <w:sz w:val="18"/>
                <w:szCs w:val="18"/>
                <w:highlight w:val="yellow"/>
              </w:rPr>
            </w:pPr>
            <w:r w:rsidRPr="00293BD2">
              <w:rPr>
                <w:rFonts w:asciiTheme="minorHAnsi" w:hAnsiTheme="minorHAnsi" w:cstheme="minorHAnsi"/>
                <w:color w:val="000000"/>
                <w:sz w:val="18"/>
                <w:szCs w:val="18"/>
                <w:highlight w:val="yellow"/>
              </w:rPr>
              <w:t>-2.8</w:t>
            </w:r>
          </w:p>
        </w:tc>
        <w:tc>
          <w:tcPr>
            <w:tcW w:w="680" w:type="dxa"/>
            <w:tcBorders>
              <w:top w:val="nil"/>
              <w:left w:val="nil"/>
              <w:bottom w:val="single" w:sz="4" w:space="0" w:color="auto"/>
              <w:right w:val="single" w:sz="4" w:space="0" w:color="auto"/>
            </w:tcBorders>
            <w:shd w:val="clear" w:color="auto" w:fill="auto"/>
            <w:noWrap/>
            <w:vAlign w:val="bottom"/>
            <w:hideMark/>
          </w:tcPr>
          <w:p w14:paraId="60C658C5" w14:textId="77777777" w:rsidR="00C224D2" w:rsidRPr="00293BD2" w:rsidRDefault="00C224D2" w:rsidP="00C224D2">
            <w:pPr>
              <w:overflowPunct/>
              <w:autoSpaceDE/>
              <w:autoSpaceDN/>
              <w:adjustRightInd/>
              <w:spacing w:after="0"/>
              <w:jc w:val="center"/>
              <w:textAlignment w:val="auto"/>
              <w:rPr>
                <w:rFonts w:asciiTheme="minorHAnsi" w:hAnsiTheme="minorHAnsi" w:cstheme="minorHAnsi"/>
                <w:color w:val="000000"/>
                <w:sz w:val="18"/>
                <w:szCs w:val="18"/>
                <w:highlight w:val="yellow"/>
              </w:rPr>
            </w:pPr>
            <w:r w:rsidRPr="00293BD2">
              <w:rPr>
                <w:rFonts w:asciiTheme="minorHAnsi" w:hAnsiTheme="minorHAnsi" w:cstheme="minorHAnsi"/>
                <w:color w:val="000000"/>
                <w:sz w:val="18"/>
                <w:szCs w:val="18"/>
                <w:highlight w:val="yellow"/>
              </w:rPr>
              <w:t>-2.9</w:t>
            </w:r>
          </w:p>
        </w:tc>
      </w:tr>
      <w:tr w:rsidR="00C224D2" w:rsidRPr="00C224D2" w14:paraId="2445A3D1" w14:textId="77777777" w:rsidTr="00CC30DB">
        <w:trPr>
          <w:trHeight w:val="53"/>
          <w:jc w:val="center"/>
        </w:trPr>
        <w:tc>
          <w:tcPr>
            <w:tcW w:w="2329" w:type="dxa"/>
            <w:tcBorders>
              <w:top w:val="nil"/>
              <w:left w:val="single" w:sz="4" w:space="0" w:color="auto"/>
              <w:bottom w:val="single" w:sz="4" w:space="0" w:color="auto"/>
              <w:right w:val="single" w:sz="4" w:space="0" w:color="auto"/>
            </w:tcBorders>
            <w:shd w:val="clear" w:color="auto" w:fill="auto"/>
            <w:vAlign w:val="center"/>
            <w:hideMark/>
          </w:tcPr>
          <w:p w14:paraId="5AEB6D4D" w14:textId="77777777" w:rsidR="00C224D2" w:rsidRPr="00C224D2" w:rsidRDefault="00C224D2" w:rsidP="00C224D2">
            <w:pPr>
              <w:overflowPunct/>
              <w:autoSpaceDE/>
              <w:autoSpaceDN/>
              <w:adjustRightInd/>
              <w:spacing w:after="0"/>
              <w:jc w:val="right"/>
              <w:textAlignment w:val="auto"/>
              <w:rPr>
                <w:rFonts w:asciiTheme="minorHAnsi" w:hAnsiTheme="minorHAnsi" w:cstheme="minorHAnsi"/>
                <w:b/>
                <w:bCs/>
                <w:color w:val="000000"/>
                <w:sz w:val="18"/>
                <w:szCs w:val="18"/>
              </w:rPr>
            </w:pPr>
            <w:r w:rsidRPr="00C224D2">
              <w:rPr>
                <w:rFonts w:asciiTheme="minorHAnsi" w:hAnsiTheme="minorHAnsi" w:cstheme="minorHAnsi"/>
                <w:b/>
                <w:bCs/>
                <w:color w:val="000000"/>
                <w:sz w:val="18"/>
                <w:szCs w:val="18"/>
              </w:rPr>
              <w:t>30kHz SCS NRB</w:t>
            </w:r>
          </w:p>
        </w:tc>
        <w:tc>
          <w:tcPr>
            <w:tcW w:w="680" w:type="dxa"/>
            <w:tcBorders>
              <w:top w:val="nil"/>
              <w:left w:val="nil"/>
              <w:bottom w:val="single" w:sz="4" w:space="0" w:color="auto"/>
              <w:right w:val="single" w:sz="4" w:space="0" w:color="auto"/>
            </w:tcBorders>
            <w:shd w:val="clear" w:color="auto" w:fill="auto"/>
            <w:noWrap/>
            <w:vAlign w:val="bottom"/>
            <w:hideMark/>
          </w:tcPr>
          <w:p w14:paraId="14CCF698"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NA</w:t>
            </w:r>
          </w:p>
        </w:tc>
        <w:tc>
          <w:tcPr>
            <w:tcW w:w="680" w:type="dxa"/>
            <w:tcBorders>
              <w:top w:val="nil"/>
              <w:left w:val="nil"/>
              <w:bottom w:val="single" w:sz="4" w:space="0" w:color="auto"/>
              <w:right w:val="single" w:sz="4" w:space="0" w:color="auto"/>
            </w:tcBorders>
            <w:shd w:val="clear" w:color="auto" w:fill="auto"/>
            <w:vAlign w:val="center"/>
            <w:hideMark/>
          </w:tcPr>
          <w:p w14:paraId="161CF3F9"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b/>
                <w:bCs/>
                <w:color w:val="000000"/>
                <w:sz w:val="18"/>
                <w:szCs w:val="18"/>
              </w:rPr>
            </w:pPr>
            <w:r w:rsidRPr="00C224D2">
              <w:rPr>
                <w:rFonts w:asciiTheme="minorHAnsi" w:hAnsiTheme="minorHAnsi" w:cstheme="minorHAnsi"/>
                <w:b/>
                <w:bCs/>
                <w:color w:val="000000"/>
                <w:sz w:val="18"/>
                <w:szCs w:val="18"/>
              </w:rPr>
              <w:t>24</w:t>
            </w:r>
          </w:p>
        </w:tc>
        <w:tc>
          <w:tcPr>
            <w:tcW w:w="620" w:type="dxa"/>
            <w:tcBorders>
              <w:top w:val="nil"/>
              <w:left w:val="nil"/>
              <w:bottom w:val="single" w:sz="4" w:space="0" w:color="auto"/>
              <w:right w:val="single" w:sz="4" w:space="0" w:color="auto"/>
            </w:tcBorders>
            <w:shd w:val="clear" w:color="auto" w:fill="auto"/>
            <w:vAlign w:val="center"/>
            <w:hideMark/>
          </w:tcPr>
          <w:p w14:paraId="6FC84742"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b/>
                <w:bCs/>
                <w:color w:val="000000"/>
                <w:sz w:val="18"/>
                <w:szCs w:val="18"/>
              </w:rPr>
            </w:pPr>
            <w:r w:rsidRPr="00C224D2">
              <w:rPr>
                <w:rFonts w:asciiTheme="minorHAnsi" w:hAnsiTheme="minorHAnsi" w:cstheme="minorHAnsi"/>
                <w:b/>
                <w:bCs/>
                <w:color w:val="000000"/>
                <w:sz w:val="18"/>
                <w:szCs w:val="18"/>
              </w:rPr>
              <w:t>38</w:t>
            </w:r>
          </w:p>
        </w:tc>
        <w:tc>
          <w:tcPr>
            <w:tcW w:w="680" w:type="dxa"/>
            <w:tcBorders>
              <w:top w:val="nil"/>
              <w:left w:val="nil"/>
              <w:bottom w:val="single" w:sz="4" w:space="0" w:color="auto"/>
              <w:right w:val="single" w:sz="4" w:space="0" w:color="auto"/>
            </w:tcBorders>
            <w:shd w:val="clear" w:color="auto" w:fill="auto"/>
            <w:vAlign w:val="center"/>
            <w:hideMark/>
          </w:tcPr>
          <w:p w14:paraId="7162AAD5"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b/>
                <w:bCs/>
                <w:color w:val="000000"/>
                <w:sz w:val="18"/>
                <w:szCs w:val="18"/>
              </w:rPr>
            </w:pPr>
            <w:r w:rsidRPr="00C224D2">
              <w:rPr>
                <w:rFonts w:asciiTheme="minorHAnsi" w:hAnsiTheme="minorHAnsi" w:cstheme="minorHAnsi"/>
                <w:b/>
                <w:bCs/>
                <w:color w:val="000000"/>
                <w:sz w:val="18"/>
                <w:szCs w:val="18"/>
              </w:rPr>
              <w:t>51</w:t>
            </w:r>
          </w:p>
        </w:tc>
        <w:tc>
          <w:tcPr>
            <w:tcW w:w="680" w:type="dxa"/>
            <w:tcBorders>
              <w:top w:val="nil"/>
              <w:left w:val="nil"/>
              <w:bottom w:val="single" w:sz="4" w:space="0" w:color="auto"/>
              <w:right w:val="single" w:sz="4" w:space="0" w:color="auto"/>
            </w:tcBorders>
            <w:shd w:val="clear" w:color="auto" w:fill="auto"/>
            <w:vAlign w:val="center"/>
            <w:hideMark/>
          </w:tcPr>
          <w:p w14:paraId="714090F5"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b/>
                <w:bCs/>
                <w:color w:val="000000"/>
                <w:sz w:val="18"/>
                <w:szCs w:val="18"/>
              </w:rPr>
            </w:pPr>
            <w:r w:rsidRPr="00C224D2">
              <w:rPr>
                <w:rFonts w:asciiTheme="minorHAnsi" w:hAnsiTheme="minorHAnsi" w:cstheme="minorHAnsi"/>
                <w:b/>
                <w:bCs/>
                <w:color w:val="000000"/>
                <w:sz w:val="18"/>
                <w:szCs w:val="18"/>
              </w:rPr>
              <w:t>65</w:t>
            </w:r>
          </w:p>
        </w:tc>
        <w:tc>
          <w:tcPr>
            <w:tcW w:w="680" w:type="dxa"/>
            <w:tcBorders>
              <w:top w:val="nil"/>
              <w:left w:val="nil"/>
              <w:bottom w:val="single" w:sz="4" w:space="0" w:color="auto"/>
              <w:right w:val="single" w:sz="4" w:space="0" w:color="auto"/>
            </w:tcBorders>
            <w:shd w:val="clear" w:color="auto" w:fill="auto"/>
            <w:vAlign w:val="center"/>
            <w:hideMark/>
          </w:tcPr>
          <w:p w14:paraId="5505F047"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b/>
                <w:bCs/>
                <w:color w:val="000000"/>
                <w:sz w:val="18"/>
                <w:szCs w:val="18"/>
              </w:rPr>
            </w:pPr>
            <w:r w:rsidRPr="00C224D2">
              <w:rPr>
                <w:rFonts w:asciiTheme="minorHAnsi" w:hAnsiTheme="minorHAnsi" w:cstheme="minorHAnsi"/>
                <w:b/>
                <w:bCs/>
                <w:color w:val="000000"/>
                <w:sz w:val="18"/>
                <w:szCs w:val="18"/>
              </w:rPr>
              <w:t>78</w:t>
            </w:r>
          </w:p>
        </w:tc>
        <w:tc>
          <w:tcPr>
            <w:tcW w:w="680" w:type="dxa"/>
            <w:tcBorders>
              <w:top w:val="nil"/>
              <w:left w:val="nil"/>
              <w:bottom w:val="single" w:sz="4" w:space="0" w:color="auto"/>
              <w:right w:val="single" w:sz="4" w:space="0" w:color="auto"/>
            </w:tcBorders>
            <w:shd w:val="clear" w:color="auto" w:fill="auto"/>
            <w:vAlign w:val="center"/>
            <w:hideMark/>
          </w:tcPr>
          <w:p w14:paraId="5FDFB593"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b/>
                <w:bCs/>
                <w:color w:val="000000"/>
                <w:sz w:val="18"/>
                <w:szCs w:val="18"/>
              </w:rPr>
            </w:pPr>
            <w:r w:rsidRPr="00C224D2">
              <w:rPr>
                <w:rFonts w:asciiTheme="minorHAnsi" w:hAnsiTheme="minorHAnsi" w:cstheme="minorHAnsi"/>
                <w:b/>
                <w:bCs/>
                <w:color w:val="000000"/>
                <w:sz w:val="18"/>
                <w:szCs w:val="18"/>
              </w:rPr>
              <w:t>92</w:t>
            </w:r>
          </w:p>
        </w:tc>
      </w:tr>
      <w:tr w:rsidR="00C224D2" w:rsidRPr="00C224D2" w14:paraId="22A522EF" w14:textId="77777777" w:rsidTr="00B96CF1">
        <w:trPr>
          <w:trHeight w:val="53"/>
          <w:jc w:val="center"/>
        </w:trPr>
        <w:tc>
          <w:tcPr>
            <w:tcW w:w="2329" w:type="dxa"/>
            <w:tcBorders>
              <w:top w:val="nil"/>
              <w:left w:val="single" w:sz="4" w:space="0" w:color="auto"/>
              <w:bottom w:val="single" w:sz="4" w:space="0" w:color="auto"/>
              <w:right w:val="single" w:sz="4" w:space="0" w:color="auto"/>
            </w:tcBorders>
            <w:shd w:val="clear" w:color="auto" w:fill="auto"/>
            <w:vAlign w:val="center"/>
            <w:hideMark/>
          </w:tcPr>
          <w:p w14:paraId="1EAA537B" w14:textId="77777777" w:rsidR="00C224D2" w:rsidRPr="00C224D2" w:rsidRDefault="00C224D2" w:rsidP="00C224D2">
            <w:pPr>
              <w:overflowPunct/>
              <w:autoSpaceDE/>
              <w:autoSpaceDN/>
              <w:adjustRightInd/>
              <w:spacing w:after="0"/>
              <w:jc w:val="right"/>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n71 30kHz REFSENS [dBm]</w:t>
            </w:r>
          </w:p>
        </w:tc>
        <w:tc>
          <w:tcPr>
            <w:tcW w:w="680" w:type="dxa"/>
            <w:tcBorders>
              <w:top w:val="nil"/>
              <w:left w:val="nil"/>
              <w:bottom w:val="single" w:sz="4" w:space="0" w:color="auto"/>
              <w:right w:val="single" w:sz="4" w:space="0" w:color="auto"/>
            </w:tcBorders>
            <w:shd w:val="clear" w:color="auto" w:fill="auto"/>
            <w:noWrap/>
            <w:vAlign w:val="bottom"/>
            <w:hideMark/>
          </w:tcPr>
          <w:p w14:paraId="07516543"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NA</w:t>
            </w:r>
          </w:p>
        </w:tc>
        <w:tc>
          <w:tcPr>
            <w:tcW w:w="680" w:type="dxa"/>
            <w:tcBorders>
              <w:top w:val="nil"/>
              <w:left w:val="nil"/>
              <w:bottom w:val="single" w:sz="4" w:space="0" w:color="auto"/>
              <w:right w:val="single" w:sz="4" w:space="0" w:color="auto"/>
            </w:tcBorders>
            <w:shd w:val="clear" w:color="auto" w:fill="auto"/>
            <w:vAlign w:val="center"/>
            <w:hideMark/>
          </w:tcPr>
          <w:p w14:paraId="58A66B11"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eastAsia="PMingLiU" w:hAnsiTheme="minorHAnsi" w:cstheme="minorHAnsi"/>
                <w:color w:val="000000"/>
                <w:sz w:val="18"/>
                <w:szCs w:val="18"/>
              </w:rPr>
              <w:t>-94</w:t>
            </w:r>
          </w:p>
        </w:tc>
        <w:tc>
          <w:tcPr>
            <w:tcW w:w="620" w:type="dxa"/>
            <w:tcBorders>
              <w:top w:val="nil"/>
              <w:left w:val="nil"/>
              <w:bottom w:val="single" w:sz="4" w:space="0" w:color="auto"/>
              <w:right w:val="single" w:sz="4" w:space="0" w:color="auto"/>
            </w:tcBorders>
            <w:shd w:val="clear" w:color="auto" w:fill="auto"/>
            <w:vAlign w:val="center"/>
            <w:hideMark/>
          </w:tcPr>
          <w:p w14:paraId="03666011"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eastAsia="PMingLiU" w:hAnsiTheme="minorHAnsi" w:cstheme="minorHAnsi"/>
                <w:color w:val="000000"/>
                <w:sz w:val="18"/>
                <w:szCs w:val="18"/>
              </w:rPr>
              <w:t>-91.9</w:t>
            </w:r>
          </w:p>
        </w:tc>
        <w:tc>
          <w:tcPr>
            <w:tcW w:w="680" w:type="dxa"/>
            <w:tcBorders>
              <w:top w:val="nil"/>
              <w:left w:val="nil"/>
              <w:bottom w:val="single" w:sz="4" w:space="0" w:color="auto"/>
              <w:right w:val="single" w:sz="4" w:space="0" w:color="auto"/>
            </w:tcBorders>
            <w:shd w:val="clear" w:color="auto" w:fill="auto"/>
            <w:vAlign w:val="center"/>
            <w:hideMark/>
          </w:tcPr>
          <w:p w14:paraId="09802D71"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eastAsia="PMingLiU" w:hAnsiTheme="minorHAnsi" w:cstheme="minorHAnsi"/>
                <w:color w:val="000000"/>
                <w:sz w:val="18"/>
                <w:szCs w:val="18"/>
              </w:rPr>
              <w:t>-87.4</w:t>
            </w:r>
          </w:p>
        </w:tc>
        <w:tc>
          <w:tcPr>
            <w:tcW w:w="680" w:type="dxa"/>
            <w:tcBorders>
              <w:top w:val="nil"/>
              <w:left w:val="nil"/>
              <w:bottom w:val="single" w:sz="4" w:space="0" w:color="auto"/>
              <w:right w:val="single" w:sz="4" w:space="0" w:color="auto"/>
            </w:tcBorders>
            <w:shd w:val="clear" w:color="auto" w:fill="auto"/>
            <w:vAlign w:val="center"/>
            <w:hideMark/>
          </w:tcPr>
          <w:p w14:paraId="155C038C"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eastAsia="PMingLiU" w:hAnsiTheme="minorHAnsi" w:cstheme="minorHAnsi"/>
                <w:color w:val="000000"/>
                <w:sz w:val="18"/>
                <w:szCs w:val="18"/>
              </w:rPr>
              <w:t>-84.2</w:t>
            </w:r>
          </w:p>
        </w:tc>
        <w:tc>
          <w:tcPr>
            <w:tcW w:w="680" w:type="dxa"/>
            <w:tcBorders>
              <w:top w:val="nil"/>
              <w:left w:val="nil"/>
              <w:bottom w:val="single" w:sz="4" w:space="0" w:color="auto"/>
              <w:right w:val="single" w:sz="4" w:space="0" w:color="auto"/>
            </w:tcBorders>
            <w:shd w:val="clear" w:color="auto" w:fill="auto"/>
            <w:vAlign w:val="center"/>
            <w:hideMark/>
          </w:tcPr>
          <w:p w14:paraId="0600CDE1"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eastAsia="PMingLiU" w:hAnsiTheme="minorHAnsi" w:cstheme="minorHAnsi"/>
                <w:color w:val="000000"/>
                <w:sz w:val="18"/>
                <w:szCs w:val="18"/>
              </w:rPr>
              <w:t>-82.6</w:t>
            </w:r>
          </w:p>
        </w:tc>
        <w:tc>
          <w:tcPr>
            <w:tcW w:w="680" w:type="dxa"/>
            <w:tcBorders>
              <w:top w:val="nil"/>
              <w:left w:val="nil"/>
              <w:bottom w:val="single" w:sz="4" w:space="0" w:color="auto"/>
              <w:right w:val="single" w:sz="4" w:space="0" w:color="auto"/>
            </w:tcBorders>
            <w:shd w:val="clear" w:color="auto" w:fill="auto"/>
            <w:vAlign w:val="center"/>
            <w:hideMark/>
          </w:tcPr>
          <w:p w14:paraId="67E6F72B"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eastAsia="PMingLiU" w:hAnsiTheme="minorHAnsi" w:cstheme="minorHAnsi"/>
                <w:color w:val="000000"/>
                <w:sz w:val="18"/>
                <w:szCs w:val="18"/>
              </w:rPr>
              <w:t>-80.8</w:t>
            </w:r>
          </w:p>
        </w:tc>
      </w:tr>
      <w:tr w:rsidR="00C224D2" w:rsidRPr="00C224D2" w14:paraId="22A47AD7" w14:textId="77777777" w:rsidTr="00B96CF1">
        <w:trPr>
          <w:trHeight w:val="53"/>
          <w:jc w:val="center"/>
        </w:trPr>
        <w:tc>
          <w:tcPr>
            <w:tcW w:w="2329" w:type="dxa"/>
            <w:tcBorders>
              <w:top w:val="nil"/>
              <w:left w:val="single" w:sz="4" w:space="0" w:color="auto"/>
              <w:bottom w:val="single" w:sz="4" w:space="0" w:color="auto"/>
              <w:right w:val="single" w:sz="4" w:space="0" w:color="auto"/>
            </w:tcBorders>
            <w:shd w:val="clear" w:color="auto" w:fill="auto"/>
            <w:vAlign w:val="center"/>
            <w:hideMark/>
          </w:tcPr>
          <w:p w14:paraId="3439FD65" w14:textId="77777777" w:rsidR="00C224D2" w:rsidRPr="00C224D2" w:rsidRDefault="00C224D2" w:rsidP="00C224D2">
            <w:pPr>
              <w:overflowPunct/>
              <w:autoSpaceDE/>
              <w:autoSpaceDN/>
              <w:adjustRightInd/>
              <w:spacing w:after="0"/>
              <w:jc w:val="right"/>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Scaled from 5MHz [dBm]</w:t>
            </w:r>
          </w:p>
        </w:tc>
        <w:tc>
          <w:tcPr>
            <w:tcW w:w="680" w:type="dxa"/>
            <w:tcBorders>
              <w:top w:val="nil"/>
              <w:left w:val="nil"/>
              <w:bottom w:val="single" w:sz="4" w:space="0" w:color="auto"/>
              <w:right w:val="single" w:sz="4" w:space="0" w:color="auto"/>
            </w:tcBorders>
            <w:shd w:val="clear" w:color="auto" w:fill="auto"/>
            <w:noWrap/>
            <w:vAlign w:val="bottom"/>
            <w:hideMark/>
          </w:tcPr>
          <w:p w14:paraId="2FBAEBFA"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NA</w:t>
            </w:r>
          </w:p>
        </w:tc>
        <w:tc>
          <w:tcPr>
            <w:tcW w:w="680" w:type="dxa"/>
            <w:tcBorders>
              <w:top w:val="nil"/>
              <w:left w:val="nil"/>
              <w:bottom w:val="single" w:sz="4" w:space="0" w:color="auto"/>
              <w:right w:val="nil"/>
            </w:tcBorders>
            <w:shd w:val="clear" w:color="auto" w:fill="auto"/>
            <w:vAlign w:val="center"/>
            <w:hideMark/>
          </w:tcPr>
          <w:p w14:paraId="30FB98F5"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-94</w:t>
            </w:r>
          </w:p>
        </w:tc>
        <w:tc>
          <w:tcPr>
            <w:tcW w:w="620" w:type="dxa"/>
            <w:tcBorders>
              <w:top w:val="nil"/>
              <w:left w:val="single" w:sz="4" w:space="0" w:color="auto"/>
              <w:bottom w:val="single" w:sz="4" w:space="0" w:color="auto"/>
              <w:right w:val="single" w:sz="4" w:space="0" w:color="auto"/>
            </w:tcBorders>
            <w:shd w:val="clear" w:color="auto" w:fill="auto"/>
            <w:vAlign w:val="center"/>
            <w:hideMark/>
          </w:tcPr>
          <w:p w14:paraId="3F27BF41"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-92.3</w:t>
            </w:r>
          </w:p>
        </w:tc>
        <w:tc>
          <w:tcPr>
            <w:tcW w:w="680" w:type="dxa"/>
            <w:tcBorders>
              <w:top w:val="nil"/>
              <w:left w:val="nil"/>
              <w:bottom w:val="single" w:sz="4" w:space="0" w:color="auto"/>
              <w:right w:val="single" w:sz="4" w:space="0" w:color="auto"/>
            </w:tcBorders>
            <w:shd w:val="clear" w:color="auto" w:fill="auto"/>
            <w:vAlign w:val="center"/>
            <w:hideMark/>
          </w:tcPr>
          <w:p w14:paraId="72E0E8B1"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-91.0</w:t>
            </w:r>
          </w:p>
        </w:tc>
        <w:tc>
          <w:tcPr>
            <w:tcW w:w="680" w:type="dxa"/>
            <w:tcBorders>
              <w:top w:val="nil"/>
              <w:left w:val="nil"/>
              <w:bottom w:val="single" w:sz="4" w:space="0" w:color="auto"/>
              <w:right w:val="single" w:sz="4" w:space="0" w:color="auto"/>
            </w:tcBorders>
            <w:shd w:val="clear" w:color="auto" w:fill="auto"/>
            <w:vAlign w:val="center"/>
            <w:hideMark/>
          </w:tcPr>
          <w:p w14:paraId="394BC477"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-90.0</w:t>
            </w:r>
          </w:p>
        </w:tc>
        <w:tc>
          <w:tcPr>
            <w:tcW w:w="680" w:type="dxa"/>
            <w:tcBorders>
              <w:top w:val="nil"/>
              <w:left w:val="nil"/>
              <w:bottom w:val="single" w:sz="4" w:space="0" w:color="auto"/>
              <w:right w:val="single" w:sz="4" w:space="0" w:color="auto"/>
            </w:tcBorders>
            <w:shd w:val="clear" w:color="auto" w:fill="auto"/>
            <w:vAlign w:val="center"/>
            <w:hideMark/>
          </w:tcPr>
          <w:p w14:paraId="2ABCCDF1"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-89.2</w:t>
            </w:r>
          </w:p>
        </w:tc>
        <w:tc>
          <w:tcPr>
            <w:tcW w:w="680" w:type="dxa"/>
            <w:tcBorders>
              <w:top w:val="nil"/>
              <w:left w:val="nil"/>
              <w:bottom w:val="single" w:sz="4" w:space="0" w:color="auto"/>
              <w:right w:val="single" w:sz="4" w:space="0" w:color="auto"/>
            </w:tcBorders>
            <w:shd w:val="clear" w:color="auto" w:fill="auto"/>
            <w:vAlign w:val="center"/>
            <w:hideMark/>
          </w:tcPr>
          <w:p w14:paraId="28355FAF"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-88.5</w:t>
            </w:r>
          </w:p>
        </w:tc>
      </w:tr>
      <w:tr w:rsidR="00C224D2" w:rsidRPr="00C224D2" w14:paraId="25E2C77C" w14:textId="77777777" w:rsidTr="00B96CF1">
        <w:trPr>
          <w:trHeight w:val="53"/>
          <w:jc w:val="center"/>
        </w:trPr>
        <w:tc>
          <w:tcPr>
            <w:tcW w:w="2329" w:type="dxa"/>
            <w:tcBorders>
              <w:top w:val="nil"/>
              <w:left w:val="single" w:sz="4" w:space="0" w:color="auto"/>
              <w:bottom w:val="single" w:sz="4" w:space="0" w:color="auto"/>
              <w:right w:val="single" w:sz="4" w:space="0" w:color="auto"/>
            </w:tcBorders>
            <w:shd w:val="clear" w:color="auto" w:fill="auto"/>
            <w:vAlign w:val="center"/>
            <w:hideMark/>
          </w:tcPr>
          <w:p w14:paraId="1B0961C6" w14:textId="77777777" w:rsidR="00C224D2" w:rsidRPr="00C224D2" w:rsidRDefault="00C224D2" w:rsidP="00C224D2">
            <w:pPr>
              <w:overflowPunct/>
              <w:autoSpaceDE/>
              <w:autoSpaceDN/>
              <w:adjustRightInd/>
              <w:spacing w:after="0"/>
              <w:jc w:val="right"/>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delta vs scalled [dB]</w:t>
            </w:r>
          </w:p>
        </w:tc>
        <w:tc>
          <w:tcPr>
            <w:tcW w:w="680" w:type="dxa"/>
            <w:tcBorders>
              <w:top w:val="nil"/>
              <w:left w:val="nil"/>
              <w:bottom w:val="single" w:sz="4" w:space="0" w:color="auto"/>
              <w:right w:val="single" w:sz="4" w:space="0" w:color="auto"/>
            </w:tcBorders>
            <w:shd w:val="clear" w:color="auto" w:fill="auto"/>
            <w:noWrap/>
            <w:vAlign w:val="bottom"/>
            <w:hideMark/>
          </w:tcPr>
          <w:p w14:paraId="51F8B056"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NA</w:t>
            </w:r>
          </w:p>
        </w:tc>
        <w:tc>
          <w:tcPr>
            <w:tcW w:w="680" w:type="dxa"/>
            <w:tcBorders>
              <w:top w:val="nil"/>
              <w:left w:val="nil"/>
              <w:bottom w:val="single" w:sz="4" w:space="0" w:color="auto"/>
              <w:right w:val="single" w:sz="4" w:space="0" w:color="auto"/>
            </w:tcBorders>
            <w:shd w:val="clear" w:color="000000" w:fill="00B050"/>
            <w:vAlign w:val="center"/>
            <w:hideMark/>
          </w:tcPr>
          <w:p w14:paraId="4C91B10D"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0.0</w:t>
            </w:r>
          </w:p>
        </w:tc>
        <w:tc>
          <w:tcPr>
            <w:tcW w:w="620" w:type="dxa"/>
            <w:tcBorders>
              <w:top w:val="nil"/>
              <w:left w:val="nil"/>
              <w:bottom w:val="single" w:sz="4" w:space="0" w:color="auto"/>
              <w:right w:val="single" w:sz="4" w:space="0" w:color="auto"/>
            </w:tcBorders>
            <w:shd w:val="clear" w:color="000000" w:fill="92D050"/>
            <w:vAlign w:val="center"/>
            <w:hideMark/>
          </w:tcPr>
          <w:p w14:paraId="0C422973"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0.4</w:t>
            </w:r>
          </w:p>
        </w:tc>
        <w:tc>
          <w:tcPr>
            <w:tcW w:w="680" w:type="dxa"/>
            <w:tcBorders>
              <w:top w:val="nil"/>
              <w:left w:val="nil"/>
              <w:bottom w:val="single" w:sz="4" w:space="0" w:color="auto"/>
              <w:right w:val="single" w:sz="4" w:space="0" w:color="auto"/>
            </w:tcBorders>
            <w:shd w:val="clear" w:color="000000" w:fill="FF0000"/>
            <w:vAlign w:val="center"/>
            <w:hideMark/>
          </w:tcPr>
          <w:p w14:paraId="613CDF91"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3.6</w:t>
            </w:r>
          </w:p>
        </w:tc>
        <w:tc>
          <w:tcPr>
            <w:tcW w:w="680" w:type="dxa"/>
            <w:tcBorders>
              <w:top w:val="nil"/>
              <w:left w:val="nil"/>
              <w:bottom w:val="single" w:sz="4" w:space="0" w:color="auto"/>
              <w:right w:val="single" w:sz="4" w:space="0" w:color="auto"/>
            </w:tcBorders>
            <w:shd w:val="clear" w:color="000000" w:fill="FF0000"/>
            <w:vAlign w:val="center"/>
            <w:hideMark/>
          </w:tcPr>
          <w:p w14:paraId="77599FC1"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5.8</w:t>
            </w:r>
          </w:p>
        </w:tc>
        <w:tc>
          <w:tcPr>
            <w:tcW w:w="680" w:type="dxa"/>
            <w:tcBorders>
              <w:top w:val="nil"/>
              <w:left w:val="nil"/>
              <w:bottom w:val="single" w:sz="4" w:space="0" w:color="auto"/>
              <w:right w:val="single" w:sz="4" w:space="0" w:color="auto"/>
            </w:tcBorders>
            <w:shd w:val="clear" w:color="000000" w:fill="FF0000"/>
            <w:vAlign w:val="center"/>
            <w:hideMark/>
          </w:tcPr>
          <w:p w14:paraId="4452A666"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6.6</w:t>
            </w:r>
          </w:p>
        </w:tc>
        <w:tc>
          <w:tcPr>
            <w:tcW w:w="680" w:type="dxa"/>
            <w:tcBorders>
              <w:top w:val="nil"/>
              <w:left w:val="nil"/>
              <w:bottom w:val="single" w:sz="4" w:space="0" w:color="auto"/>
              <w:right w:val="single" w:sz="4" w:space="0" w:color="auto"/>
            </w:tcBorders>
            <w:shd w:val="clear" w:color="000000" w:fill="FF0000"/>
            <w:vAlign w:val="center"/>
            <w:hideMark/>
          </w:tcPr>
          <w:p w14:paraId="31C6777D"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7.7</w:t>
            </w:r>
          </w:p>
        </w:tc>
      </w:tr>
      <w:tr w:rsidR="00C224D2" w:rsidRPr="00C224D2" w14:paraId="5C1BE081" w14:textId="77777777" w:rsidTr="00B96CF1">
        <w:trPr>
          <w:trHeight w:val="53"/>
          <w:jc w:val="center"/>
        </w:trPr>
        <w:tc>
          <w:tcPr>
            <w:tcW w:w="2329" w:type="dxa"/>
            <w:tcBorders>
              <w:top w:val="nil"/>
              <w:left w:val="single" w:sz="4" w:space="0" w:color="auto"/>
              <w:bottom w:val="single" w:sz="4" w:space="0" w:color="auto"/>
              <w:right w:val="single" w:sz="4" w:space="0" w:color="auto"/>
            </w:tcBorders>
            <w:shd w:val="clear" w:color="auto" w:fill="auto"/>
            <w:noWrap/>
            <w:vAlign w:val="bottom"/>
            <w:hideMark/>
          </w:tcPr>
          <w:p w14:paraId="080BA80F" w14:textId="77777777" w:rsidR="00C224D2" w:rsidRPr="00C224D2" w:rsidRDefault="00C224D2" w:rsidP="00C224D2">
            <w:pPr>
              <w:overflowPunct/>
              <w:autoSpaceDE/>
              <w:autoSpaceDN/>
              <w:adjustRightInd/>
              <w:spacing w:after="0"/>
              <w:jc w:val="right"/>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delta UL vs thermal [dB]</w:t>
            </w:r>
          </w:p>
        </w:tc>
        <w:tc>
          <w:tcPr>
            <w:tcW w:w="680" w:type="dxa"/>
            <w:tcBorders>
              <w:top w:val="nil"/>
              <w:left w:val="nil"/>
              <w:bottom w:val="single" w:sz="4" w:space="0" w:color="auto"/>
              <w:right w:val="single" w:sz="4" w:space="0" w:color="auto"/>
            </w:tcBorders>
            <w:shd w:val="clear" w:color="auto" w:fill="auto"/>
            <w:noWrap/>
            <w:vAlign w:val="bottom"/>
            <w:hideMark/>
          </w:tcPr>
          <w:p w14:paraId="423AE9EB"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NA</w:t>
            </w:r>
          </w:p>
        </w:tc>
        <w:tc>
          <w:tcPr>
            <w:tcW w:w="680" w:type="dxa"/>
            <w:tcBorders>
              <w:top w:val="nil"/>
              <w:left w:val="nil"/>
              <w:bottom w:val="single" w:sz="4" w:space="0" w:color="auto"/>
              <w:right w:val="single" w:sz="4" w:space="0" w:color="auto"/>
            </w:tcBorders>
            <w:shd w:val="clear" w:color="auto" w:fill="auto"/>
            <w:noWrap/>
            <w:vAlign w:val="bottom"/>
            <w:hideMark/>
          </w:tcPr>
          <w:p w14:paraId="692CA520"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NA</w:t>
            </w:r>
          </w:p>
        </w:tc>
        <w:tc>
          <w:tcPr>
            <w:tcW w:w="620" w:type="dxa"/>
            <w:tcBorders>
              <w:top w:val="nil"/>
              <w:left w:val="nil"/>
              <w:bottom w:val="single" w:sz="4" w:space="0" w:color="auto"/>
              <w:right w:val="single" w:sz="4" w:space="0" w:color="auto"/>
            </w:tcBorders>
            <w:shd w:val="clear" w:color="auto" w:fill="auto"/>
            <w:noWrap/>
            <w:vAlign w:val="bottom"/>
            <w:hideMark/>
          </w:tcPr>
          <w:p w14:paraId="70C7A4C6"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-3.6</w:t>
            </w:r>
          </w:p>
        </w:tc>
        <w:tc>
          <w:tcPr>
            <w:tcW w:w="680" w:type="dxa"/>
            <w:tcBorders>
              <w:top w:val="nil"/>
              <w:left w:val="nil"/>
              <w:bottom w:val="single" w:sz="4" w:space="0" w:color="auto"/>
              <w:right w:val="single" w:sz="4" w:space="0" w:color="auto"/>
            </w:tcBorders>
            <w:shd w:val="clear" w:color="auto" w:fill="auto"/>
            <w:noWrap/>
            <w:vAlign w:val="bottom"/>
            <w:hideMark/>
          </w:tcPr>
          <w:p w14:paraId="36092C34"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-0.4</w:t>
            </w:r>
          </w:p>
        </w:tc>
        <w:tc>
          <w:tcPr>
            <w:tcW w:w="680" w:type="dxa"/>
            <w:tcBorders>
              <w:top w:val="nil"/>
              <w:left w:val="nil"/>
              <w:bottom w:val="single" w:sz="4" w:space="0" w:color="auto"/>
              <w:right w:val="single" w:sz="4" w:space="0" w:color="auto"/>
            </w:tcBorders>
            <w:shd w:val="clear" w:color="auto" w:fill="auto"/>
            <w:noWrap/>
            <w:vAlign w:val="bottom"/>
            <w:hideMark/>
          </w:tcPr>
          <w:p w14:paraId="18F18C80"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1.8</w:t>
            </w:r>
          </w:p>
        </w:tc>
        <w:tc>
          <w:tcPr>
            <w:tcW w:w="680" w:type="dxa"/>
            <w:tcBorders>
              <w:top w:val="nil"/>
              <w:left w:val="nil"/>
              <w:bottom w:val="single" w:sz="4" w:space="0" w:color="auto"/>
              <w:right w:val="single" w:sz="4" w:space="0" w:color="auto"/>
            </w:tcBorders>
            <w:shd w:val="clear" w:color="auto" w:fill="auto"/>
            <w:noWrap/>
            <w:vAlign w:val="bottom"/>
            <w:hideMark/>
          </w:tcPr>
          <w:p w14:paraId="05A7DA87"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2.6</w:t>
            </w:r>
          </w:p>
        </w:tc>
        <w:tc>
          <w:tcPr>
            <w:tcW w:w="680" w:type="dxa"/>
            <w:tcBorders>
              <w:top w:val="nil"/>
              <w:left w:val="nil"/>
              <w:bottom w:val="single" w:sz="4" w:space="0" w:color="auto"/>
              <w:right w:val="single" w:sz="4" w:space="0" w:color="auto"/>
            </w:tcBorders>
            <w:shd w:val="clear" w:color="auto" w:fill="auto"/>
            <w:noWrap/>
            <w:vAlign w:val="bottom"/>
            <w:hideMark/>
          </w:tcPr>
          <w:p w14:paraId="13772039"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3.7</w:t>
            </w:r>
          </w:p>
        </w:tc>
      </w:tr>
      <w:tr w:rsidR="00C224D2" w:rsidRPr="00C224D2" w14:paraId="31887C5D" w14:textId="77777777" w:rsidTr="00B96CF1">
        <w:trPr>
          <w:trHeight w:val="53"/>
          <w:jc w:val="center"/>
        </w:trPr>
        <w:tc>
          <w:tcPr>
            <w:tcW w:w="2329" w:type="dxa"/>
            <w:tcBorders>
              <w:top w:val="nil"/>
              <w:left w:val="single" w:sz="4" w:space="0" w:color="auto"/>
              <w:bottom w:val="single" w:sz="4" w:space="0" w:color="auto"/>
              <w:right w:val="single" w:sz="4" w:space="0" w:color="auto"/>
            </w:tcBorders>
            <w:shd w:val="clear" w:color="auto" w:fill="00B0F0"/>
            <w:noWrap/>
            <w:vAlign w:val="bottom"/>
            <w:hideMark/>
          </w:tcPr>
          <w:p w14:paraId="34809EBD" w14:textId="77777777" w:rsidR="00C224D2" w:rsidRPr="00C224D2" w:rsidRDefault="00C224D2" w:rsidP="00C224D2">
            <w:pPr>
              <w:overflowPunct/>
              <w:autoSpaceDE/>
              <w:autoSpaceDN/>
              <w:adjustRightInd/>
              <w:spacing w:after="0"/>
              <w:jc w:val="right"/>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n105 30kHz REFSENS [dBm]</w:t>
            </w:r>
          </w:p>
        </w:tc>
        <w:tc>
          <w:tcPr>
            <w:tcW w:w="680" w:type="dxa"/>
            <w:tcBorders>
              <w:top w:val="nil"/>
              <w:left w:val="nil"/>
              <w:bottom w:val="single" w:sz="4" w:space="0" w:color="auto"/>
              <w:right w:val="single" w:sz="4" w:space="0" w:color="auto"/>
            </w:tcBorders>
            <w:shd w:val="clear" w:color="auto" w:fill="00B0F0"/>
            <w:noWrap/>
            <w:vAlign w:val="bottom"/>
            <w:hideMark/>
          </w:tcPr>
          <w:p w14:paraId="45568563"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NA</w:t>
            </w:r>
          </w:p>
        </w:tc>
        <w:tc>
          <w:tcPr>
            <w:tcW w:w="680" w:type="dxa"/>
            <w:tcBorders>
              <w:top w:val="nil"/>
              <w:left w:val="nil"/>
              <w:bottom w:val="single" w:sz="4" w:space="0" w:color="auto"/>
              <w:right w:val="single" w:sz="4" w:space="0" w:color="auto"/>
            </w:tcBorders>
            <w:shd w:val="clear" w:color="auto" w:fill="00B0F0"/>
            <w:noWrap/>
            <w:vAlign w:val="bottom"/>
            <w:hideMark/>
          </w:tcPr>
          <w:p w14:paraId="234800CE"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-94.3</w:t>
            </w:r>
          </w:p>
        </w:tc>
        <w:tc>
          <w:tcPr>
            <w:tcW w:w="620" w:type="dxa"/>
            <w:tcBorders>
              <w:top w:val="nil"/>
              <w:left w:val="nil"/>
              <w:bottom w:val="single" w:sz="4" w:space="0" w:color="auto"/>
              <w:right w:val="single" w:sz="4" w:space="0" w:color="auto"/>
            </w:tcBorders>
            <w:shd w:val="clear" w:color="auto" w:fill="00B0F0"/>
            <w:noWrap/>
            <w:vAlign w:val="bottom"/>
            <w:hideMark/>
          </w:tcPr>
          <w:p w14:paraId="1C53B083"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-92.0</w:t>
            </w:r>
          </w:p>
        </w:tc>
        <w:tc>
          <w:tcPr>
            <w:tcW w:w="680" w:type="dxa"/>
            <w:tcBorders>
              <w:top w:val="nil"/>
              <w:left w:val="nil"/>
              <w:bottom w:val="single" w:sz="4" w:space="0" w:color="auto"/>
              <w:right w:val="single" w:sz="4" w:space="0" w:color="auto"/>
            </w:tcBorders>
            <w:shd w:val="clear" w:color="auto" w:fill="00B0F0"/>
            <w:noWrap/>
            <w:vAlign w:val="bottom"/>
            <w:hideMark/>
          </w:tcPr>
          <w:p w14:paraId="51A7449E"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-83.0</w:t>
            </w:r>
          </w:p>
        </w:tc>
        <w:tc>
          <w:tcPr>
            <w:tcW w:w="680" w:type="dxa"/>
            <w:tcBorders>
              <w:top w:val="nil"/>
              <w:left w:val="nil"/>
              <w:bottom w:val="single" w:sz="4" w:space="0" w:color="auto"/>
              <w:right w:val="single" w:sz="4" w:space="0" w:color="auto"/>
            </w:tcBorders>
            <w:shd w:val="clear" w:color="auto" w:fill="00B0F0"/>
            <w:noWrap/>
            <w:vAlign w:val="bottom"/>
            <w:hideMark/>
          </w:tcPr>
          <w:p w14:paraId="19002FA0"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-88.2</w:t>
            </w:r>
          </w:p>
        </w:tc>
        <w:tc>
          <w:tcPr>
            <w:tcW w:w="680" w:type="dxa"/>
            <w:tcBorders>
              <w:top w:val="nil"/>
              <w:left w:val="nil"/>
              <w:bottom w:val="single" w:sz="4" w:space="0" w:color="auto"/>
              <w:right w:val="single" w:sz="4" w:space="0" w:color="auto"/>
            </w:tcBorders>
            <w:shd w:val="clear" w:color="auto" w:fill="00B0F0"/>
            <w:noWrap/>
            <w:vAlign w:val="bottom"/>
            <w:hideMark/>
          </w:tcPr>
          <w:p w14:paraId="372FD8E1"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-86.5</w:t>
            </w:r>
          </w:p>
        </w:tc>
        <w:tc>
          <w:tcPr>
            <w:tcW w:w="680" w:type="dxa"/>
            <w:tcBorders>
              <w:top w:val="nil"/>
              <w:left w:val="nil"/>
              <w:bottom w:val="single" w:sz="4" w:space="0" w:color="auto"/>
              <w:right w:val="single" w:sz="4" w:space="0" w:color="auto"/>
            </w:tcBorders>
            <w:shd w:val="clear" w:color="auto" w:fill="00B0F0"/>
            <w:noWrap/>
            <w:vAlign w:val="bottom"/>
            <w:hideMark/>
          </w:tcPr>
          <w:p w14:paraId="419FFBB7"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-83.7</w:t>
            </w:r>
          </w:p>
        </w:tc>
      </w:tr>
      <w:tr w:rsidR="00C224D2" w:rsidRPr="00C224D2" w14:paraId="58236267" w14:textId="77777777" w:rsidTr="00B96CF1">
        <w:trPr>
          <w:trHeight w:val="53"/>
          <w:jc w:val="center"/>
        </w:trPr>
        <w:tc>
          <w:tcPr>
            <w:tcW w:w="2329" w:type="dxa"/>
            <w:tcBorders>
              <w:top w:val="nil"/>
              <w:left w:val="single" w:sz="4" w:space="0" w:color="auto"/>
              <w:bottom w:val="single" w:sz="4" w:space="0" w:color="auto"/>
              <w:right w:val="single" w:sz="4" w:space="0" w:color="auto"/>
            </w:tcBorders>
            <w:shd w:val="clear" w:color="auto" w:fill="auto"/>
            <w:noWrap/>
            <w:vAlign w:val="bottom"/>
            <w:hideMark/>
          </w:tcPr>
          <w:p w14:paraId="5C17D04E" w14:textId="77777777" w:rsidR="00C224D2" w:rsidRPr="00C224D2" w:rsidRDefault="00C224D2" w:rsidP="00C224D2">
            <w:pPr>
              <w:overflowPunct/>
              <w:autoSpaceDE/>
              <w:autoSpaceDN/>
              <w:adjustRightInd/>
              <w:spacing w:after="0"/>
              <w:jc w:val="right"/>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Delta n105 vs n71[dB]</w:t>
            </w:r>
          </w:p>
        </w:tc>
        <w:tc>
          <w:tcPr>
            <w:tcW w:w="680" w:type="dxa"/>
            <w:tcBorders>
              <w:top w:val="nil"/>
              <w:left w:val="nil"/>
              <w:bottom w:val="single" w:sz="4" w:space="0" w:color="auto"/>
              <w:right w:val="single" w:sz="4" w:space="0" w:color="auto"/>
            </w:tcBorders>
            <w:shd w:val="clear" w:color="auto" w:fill="auto"/>
            <w:noWrap/>
            <w:vAlign w:val="bottom"/>
            <w:hideMark/>
          </w:tcPr>
          <w:p w14:paraId="189F15FB"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NA</w:t>
            </w:r>
          </w:p>
        </w:tc>
        <w:tc>
          <w:tcPr>
            <w:tcW w:w="680" w:type="dxa"/>
            <w:tcBorders>
              <w:top w:val="nil"/>
              <w:left w:val="nil"/>
              <w:bottom w:val="single" w:sz="4" w:space="0" w:color="auto"/>
              <w:right w:val="single" w:sz="4" w:space="0" w:color="auto"/>
            </w:tcBorders>
            <w:shd w:val="clear" w:color="auto" w:fill="auto"/>
            <w:noWrap/>
            <w:vAlign w:val="bottom"/>
            <w:hideMark/>
          </w:tcPr>
          <w:p w14:paraId="2A1B0943"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0.0</w:t>
            </w:r>
          </w:p>
        </w:tc>
        <w:tc>
          <w:tcPr>
            <w:tcW w:w="620" w:type="dxa"/>
            <w:tcBorders>
              <w:top w:val="nil"/>
              <w:left w:val="nil"/>
              <w:bottom w:val="single" w:sz="4" w:space="0" w:color="auto"/>
              <w:right w:val="single" w:sz="4" w:space="0" w:color="auto"/>
            </w:tcBorders>
            <w:shd w:val="clear" w:color="auto" w:fill="auto"/>
            <w:noWrap/>
            <w:vAlign w:val="bottom"/>
            <w:hideMark/>
          </w:tcPr>
          <w:p w14:paraId="6A3F2954" w14:textId="77777777" w:rsidR="00C224D2" w:rsidRPr="00C224D2" w:rsidRDefault="00C224D2" w:rsidP="00C224D2">
            <w:pPr>
              <w:overflowPunct/>
              <w:autoSpaceDE/>
              <w:autoSpaceDN/>
              <w:adjustRightInd/>
              <w:spacing w:after="0"/>
              <w:jc w:val="center"/>
              <w:textAlignment w:val="auto"/>
              <w:rPr>
                <w:rFonts w:asciiTheme="minorHAnsi" w:hAnsiTheme="minorHAnsi" w:cstheme="minorHAnsi"/>
                <w:color w:val="000000"/>
                <w:sz w:val="18"/>
                <w:szCs w:val="18"/>
              </w:rPr>
            </w:pPr>
            <w:r w:rsidRPr="00C224D2">
              <w:rPr>
                <w:rFonts w:asciiTheme="minorHAnsi" w:hAnsiTheme="minorHAnsi" w:cstheme="minorHAnsi"/>
                <w:color w:val="000000"/>
                <w:sz w:val="18"/>
                <w:szCs w:val="18"/>
              </w:rPr>
              <w:t>-0.1</w:t>
            </w:r>
          </w:p>
        </w:tc>
        <w:tc>
          <w:tcPr>
            <w:tcW w:w="680" w:type="dxa"/>
            <w:tcBorders>
              <w:top w:val="nil"/>
              <w:left w:val="nil"/>
              <w:bottom w:val="single" w:sz="4" w:space="0" w:color="auto"/>
              <w:right w:val="single" w:sz="4" w:space="0" w:color="auto"/>
            </w:tcBorders>
            <w:shd w:val="clear" w:color="auto" w:fill="auto"/>
            <w:noWrap/>
            <w:vAlign w:val="bottom"/>
            <w:hideMark/>
          </w:tcPr>
          <w:p w14:paraId="14215B21" w14:textId="77777777" w:rsidR="00C224D2" w:rsidRPr="00293BD2" w:rsidRDefault="00C224D2" w:rsidP="00C224D2">
            <w:pPr>
              <w:overflowPunct/>
              <w:autoSpaceDE/>
              <w:autoSpaceDN/>
              <w:adjustRightInd/>
              <w:spacing w:after="0"/>
              <w:jc w:val="center"/>
              <w:textAlignment w:val="auto"/>
              <w:rPr>
                <w:rFonts w:asciiTheme="minorHAnsi" w:hAnsiTheme="minorHAnsi" w:cstheme="minorHAnsi"/>
                <w:color w:val="000000"/>
                <w:sz w:val="18"/>
                <w:szCs w:val="18"/>
                <w:highlight w:val="yellow"/>
              </w:rPr>
            </w:pPr>
            <w:r w:rsidRPr="00293BD2">
              <w:rPr>
                <w:rFonts w:asciiTheme="minorHAnsi" w:hAnsiTheme="minorHAnsi" w:cstheme="minorHAnsi"/>
                <w:color w:val="000000"/>
                <w:sz w:val="18"/>
                <w:szCs w:val="18"/>
                <w:highlight w:val="yellow"/>
              </w:rPr>
              <w:t>4.4</w:t>
            </w:r>
          </w:p>
        </w:tc>
        <w:tc>
          <w:tcPr>
            <w:tcW w:w="680" w:type="dxa"/>
            <w:tcBorders>
              <w:top w:val="nil"/>
              <w:left w:val="nil"/>
              <w:bottom w:val="single" w:sz="4" w:space="0" w:color="auto"/>
              <w:right w:val="single" w:sz="4" w:space="0" w:color="auto"/>
            </w:tcBorders>
            <w:shd w:val="clear" w:color="auto" w:fill="auto"/>
            <w:noWrap/>
            <w:vAlign w:val="bottom"/>
            <w:hideMark/>
          </w:tcPr>
          <w:p w14:paraId="5EB1ABC5" w14:textId="77777777" w:rsidR="00C224D2" w:rsidRPr="00293BD2" w:rsidRDefault="00C224D2" w:rsidP="00C224D2">
            <w:pPr>
              <w:overflowPunct/>
              <w:autoSpaceDE/>
              <w:autoSpaceDN/>
              <w:adjustRightInd/>
              <w:spacing w:after="0"/>
              <w:jc w:val="center"/>
              <w:textAlignment w:val="auto"/>
              <w:rPr>
                <w:rFonts w:asciiTheme="minorHAnsi" w:hAnsiTheme="minorHAnsi" w:cstheme="minorHAnsi"/>
                <w:color w:val="000000"/>
                <w:sz w:val="18"/>
                <w:szCs w:val="18"/>
                <w:highlight w:val="yellow"/>
              </w:rPr>
            </w:pPr>
            <w:r w:rsidRPr="00293BD2">
              <w:rPr>
                <w:rFonts w:asciiTheme="minorHAnsi" w:hAnsiTheme="minorHAnsi" w:cstheme="minorHAnsi"/>
                <w:color w:val="000000"/>
                <w:sz w:val="18"/>
                <w:szCs w:val="18"/>
                <w:highlight w:val="yellow"/>
              </w:rPr>
              <w:t>-4.0</w:t>
            </w:r>
          </w:p>
        </w:tc>
        <w:tc>
          <w:tcPr>
            <w:tcW w:w="680" w:type="dxa"/>
            <w:tcBorders>
              <w:top w:val="nil"/>
              <w:left w:val="nil"/>
              <w:bottom w:val="single" w:sz="4" w:space="0" w:color="auto"/>
              <w:right w:val="single" w:sz="4" w:space="0" w:color="auto"/>
            </w:tcBorders>
            <w:shd w:val="clear" w:color="auto" w:fill="auto"/>
            <w:noWrap/>
            <w:vAlign w:val="bottom"/>
            <w:hideMark/>
          </w:tcPr>
          <w:p w14:paraId="611799E7" w14:textId="77777777" w:rsidR="00C224D2" w:rsidRPr="00293BD2" w:rsidRDefault="00C224D2" w:rsidP="00C224D2">
            <w:pPr>
              <w:overflowPunct/>
              <w:autoSpaceDE/>
              <w:autoSpaceDN/>
              <w:adjustRightInd/>
              <w:spacing w:after="0"/>
              <w:jc w:val="center"/>
              <w:textAlignment w:val="auto"/>
              <w:rPr>
                <w:rFonts w:asciiTheme="minorHAnsi" w:hAnsiTheme="minorHAnsi" w:cstheme="minorHAnsi"/>
                <w:color w:val="000000"/>
                <w:sz w:val="18"/>
                <w:szCs w:val="18"/>
                <w:highlight w:val="yellow"/>
              </w:rPr>
            </w:pPr>
            <w:r w:rsidRPr="00293BD2">
              <w:rPr>
                <w:rFonts w:asciiTheme="minorHAnsi" w:hAnsiTheme="minorHAnsi" w:cstheme="minorHAnsi"/>
                <w:color w:val="000000"/>
                <w:sz w:val="18"/>
                <w:szCs w:val="18"/>
                <w:highlight w:val="yellow"/>
              </w:rPr>
              <w:t>-3.9</w:t>
            </w:r>
          </w:p>
        </w:tc>
        <w:tc>
          <w:tcPr>
            <w:tcW w:w="680" w:type="dxa"/>
            <w:tcBorders>
              <w:top w:val="nil"/>
              <w:left w:val="nil"/>
              <w:bottom w:val="single" w:sz="4" w:space="0" w:color="auto"/>
              <w:right w:val="single" w:sz="4" w:space="0" w:color="auto"/>
            </w:tcBorders>
            <w:shd w:val="clear" w:color="auto" w:fill="auto"/>
            <w:noWrap/>
            <w:vAlign w:val="bottom"/>
            <w:hideMark/>
          </w:tcPr>
          <w:p w14:paraId="61781DFD" w14:textId="77777777" w:rsidR="00C224D2" w:rsidRPr="00293BD2" w:rsidRDefault="00C224D2" w:rsidP="00C224D2">
            <w:pPr>
              <w:overflowPunct/>
              <w:autoSpaceDE/>
              <w:autoSpaceDN/>
              <w:adjustRightInd/>
              <w:spacing w:after="0"/>
              <w:jc w:val="center"/>
              <w:textAlignment w:val="auto"/>
              <w:rPr>
                <w:rFonts w:asciiTheme="minorHAnsi" w:hAnsiTheme="minorHAnsi" w:cstheme="minorHAnsi"/>
                <w:color w:val="000000"/>
                <w:sz w:val="18"/>
                <w:szCs w:val="18"/>
                <w:highlight w:val="yellow"/>
              </w:rPr>
            </w:pPr>
            <w:r w:rsidRPr="00293BD2">
              <w:rPr>
                <w:rFonts w:asciiTheme="minorHAnsi" w:hAnsiTheme="minorHAnsi" w:cstheme="minorHAnsi"/>
                <w:color w:val="000000"/>
                <w:sz w:val="18"/>
                <w:szCs w:val="18"/>
                <w:highlight w:val="yellow"/>
              </w:rPr>
              <w:t>-2.9</w:t>
            </w:r>
          </w:p>
        </w:tc>
      </w:tr>
    </w:tbl>
    <w:p w14:paraId="4F927687" w14:textId="349670DB" w:rsidR="00C224D2" w:rsidRDefault="00C224D2" w:rsidP="00F11C6A">
      <w:pPr>
        <w:spacing w:after="0"/>
      </w:pPr>
    </w:p>
    <w:p w14:paraId="0A7440E0" w14:textId="1BB7BCF4" w:rsidR="00B51330" w:rsidRPr="00F11C6A" w:rsidRDefault="00B51330" w:rsidP="00B51330">
      <w:pPr>
        <w:spacing w:after="0"/>
        <w:rPr>
          <w:b/>
          <w:bCs/>
        </w:rPr>
      </w:pPr>
      <w:r w:rsidRPr="00F11C6A">
        <w:rPr>
          <w:b/>
          <w:bCs/>
        </w:rPr>
        <w:t>Observations:</w:t>
      </w:r>
    </w:p>
    <w:p w14:paraId="72D8937D" w14:textId="5E716C07" w:rsidR="00B51330" w:rsidRPr="00F11C6A" w:rsidRDefault="00B51330" w:rsidP="00B51330">
      <w:pPr>
        <w:pStyle w:val="ListParagraph"/>
        <w:numPr>
          <w:ilvl w:val="0"/>
          <w:numId w:val="38"/>
        </w:numPr>
        <w:spacing w:after="0"/>
        <w:rPr>
          <w:b/>
          <w:bCs/>
        </w:rPr>
      </w:pPr>
      <w:r w:rsidRPr="00F11C6A">
        <w:rPr>
          <w:b/>
          <w:bCs/>
        </w:rPr>
        <w:t>The 30 and 35MHz n105 REFSENS numbers can be considered as solid as they are based on the same IMD overlap and UL interference level than the n71 20 and 25MH</w:t>
      </w:r>
      <w:r w:rsidR="00F11C6A" w:rsidRPr="00F11C6A">
        <w:rPr>
          <w:b/>
          <w:bCs/>
        </w:rPr>
        <w:t>z</w:t>
      </w:r>
      <w:r w:rsidRPr="00F11C6A">
        <w:rPr>
          <w:b/>
          <w:bCs/>
        </w:rPr>
        <w:t xml:space="preserve"> respectively.</w:t>
      </w:r>
    </w:p>
    <w:p w14:paraId="7A321432" w14:textId="67D6DE1C" w:rsidR="00B51330" w:rsidRPr="00F11C6A" w:rsidRDefault="00B51330" w:rsidP="00B51330">
      <w:pPr>
        <w:pStyle w:val="ListParagraph"/>
        <w:numPr>
          <w:ilvl w:val="0"/>
          <w:numId w:val="38"/>
        </w:numPr>
        <w:spacing w:after="0"/>
        <w:rPr>
          <w:b/>
          <w:bCs/>
        </w:rPr>
      </w:pPr>
      <w:r w:rsidRPr="00F11C6A">
        <w:rPr>
          <w:b/>
          <w:bCs/>
        </w:rPr>
        <w:t>A good consistency is found for all IMD5 when comparing the delta between n105 and n71 (~3dB delta for 15kHz</w:t>
      </w:r>
      <w:r w:rsidR="00F11C6A" w:rsidRPr="00F11C6A">
        <w:rPr>
          <w:b/>
          <w:bCs/>
        </w:rPr>
        <w:t xml:space="preserve"> and ~4dB for 30kHz</w:t>
      </w:r>
      <w:r w:rsidR="00293BD2">
        <w:rPr>
          <w:b/>
          <w:bCs/>
        </w:rPr>
        <w:t>, see yellow highlight</w:t>
      </w:r>
      <w:r w:rsidR="00F11C6A" w:rsidRPr="00F11C6A">
        <w:rPr>
          <w:b/>
          <w:bCs/>
        </w:rPr>
        <w:t>)</w:t>
      </w:r>
    </w:p>
    <w:p w14:paraId="22A360CE" w14:textId="701F1C92" w:rsidR="00F11C6A" w:rsidRPr="00F11C6A" w:rsidRDefault="00F11C6A" w:rsidP="00B51330">
      <w:pPr>
        <w:pStyle w:val="ListParagraph"/>
        <w:numPr>
          <w:ilvl w:val="0"/>
          <w:numId w:val="38"/>
        </w:numPr>
        <w:spacing w:after="0"/>
        <w:rPr>
          <w:b/>
          <w:bCs/>
        </w:rPr>
      </w:pPr>
      <w:r w:rsidRPr="00F11C6A">
        <w:rPr>
          <w:b/>
          <w:bCs/>
        </w:rPr>
        <w:t>Based on the extrapolation the de-sense for n105 15MHz channel is slightly reduced compared to n71</w:t>
      </w:r>
    </w:p>
    <w:p w14:paraId="7497EE4B" w14:textId="0DC74807" w:rsidR="00F11C6A" w:rsidRPr="00F11C6A" w:rsidRDefault="00F11C6A" w:rsidP="00B51330">
      <w:pPr>
        <w:pStyle w:val="ListParagraph"/>
        <w:numPr>
          <w:ilvl w:val="0"/>
          <w:numId w:val="38"/>
        </w:numPr>
        <w:spacing w:after="0"/>
        <w:rPr>
          <w:b/>
          <w:bCs/>
        </w:rPr>
      </w:pPr>
      <w:r w:rsidRPr="00F11C6A">
        <w:rPr>
          <w:b/>
          <w:bCs/>
        </w:rPr>
        <w:t>The calculated values can be used as a starting point before they get refined by measurements.</w:t>
      </w:r>
    </w:p>
    <w:p w14:paraId="4CB91B7B" w14:textId="7B4685C5" w:rsidR="004B655F" w:rsidRDefault="004B655F" w:rsidP="004B655F">
      <w:pPr>
        <w:pStyle w:val="Heading2"/>
        <w:spacing w:after="240"/>
        <w:rPr>
          <w:lang w:eastAsia="zh-CN"/>
        </w:rPr>
      </w:pPr>
      <w:r>
        <w:rPr>
          <w:lang w:eastAsia="zh-CN"/>
        </w:rPr>
        <w:t xml:space="preserve">REFSENS for </w:t>
      </w:r>
      <w:r w:rsidR="00494D5C">
        <w:rPr>
          <w:lang w:eastAsia="zh-CN"/>
        </w:rPr>
        <w:t xml:space="preserve">the </w:t>
      </w:r>
      <w:r>
        <w:rPr>
          <w:lang w:eastAsia="zh-CN"/>
        </w:rPr>
        <w:t>first 5MHz of n105</w:t>
      </w:r>
    </w:p>
    <w:p w14:paraId="5F7F8E96" w14:textId="6E104B1A" w:rsidR="00B96CF1" w:rsidRDefault="00B96CF1" w:rsidP="00B96CF1">
      <w:pPr>
        <w:rPr>
          <w:lang w:val="en-GB" w:eastAsia="zh-CN"/>
        </w:rPr>
      </w:pPr>
      <w:r>
        <w:rPr>
          <w:lang w:val="en-GB" w:eastAsia="zh-CN"/>
        </w:rPr>
        <w:t xml:space="preserve">In [1], with the following </w:t>
      </w:r>
      <w:r w:rsidR="00963D79">
        <w:rPr>
          <w:lang w:val="en-GB" w:eastAsia="zh-CN"/>
        </w:rPr>
        <w:t xml:space="preserve">part of the REFSENS </w:t>
      </w:r>
      <w:r>
        <w:rPr>
          <w:lang w:val="en-GB" w:eastAsia="zh-CN"/>
        </w:rPr>
        <w:t xml:space="preserve">way forward </w:t>
      </w:r>
      <w:r w:rsidR="00293BD2">
        <w:rPr>
          <w:lang w:val="en-GB" w:eastAsia="zh-CN"/>
        </w:rPr>
        <w:t>(revised wording and tables removed for conciseness)</w:t>
      </w:r>
      <w:r>
        <w:rPr>
          <w:lang w:val="en-GB" w:eastAsia="zh-CN"/>
        </w:rPr>
        <w:t xml:space="preserve">, </w:t>
      </w:r>
      <w:r w:rsidR="00963D79">
        <w:rPr>
          <w:lang w:val="en-GB" w:eastAsia="zh-CN"/>
        </w:rPr>
        <w:t>a number of options are discussed for the lower channel bandwidths.</w:t>
      </w:r>
    </w:p>
    <w:p w14:paraId="38BD0B3D" w14:textId="77777777" w:rsidR="00B96CF1" w:rsidRPr="00B96CF1" w:rsidRDefault="00B96CF1" w:rsidP="00B96CF1">
      <w:pPr>
        <w:spacing w:after="0"/>
        <w:rPr>
          <w:bCs/>
          <w:i/>
          <w:iCs/>
          <w:lang w:eastAsia="zh-CN"/>
        </w:rPr>
      </w:pPr>
      <w:r w:rsidRPr="00B96CF1">
        <w:rPr>
          <w:bCs/>
          <w:i/>
          <w:iCs/>
          <w:lang w:eastAsia="zh-CN"/>
        </w:rPr>
        <w:t>“Way forward</w:t>
      </w:r>
    </w:p>
    <w:p w14:paraId="01C77B8D" w14:textId="77777777" w:rsidR="001416E0" w:rsidRDefault="00B96CF1" w:rsidP="001416E0">
      <w:pPr>
        <w:pStyle w:val="ListParagraph"/>
        <w:numPr>
          <w:ilvl w:val="0"/>
          <w:numId w:val="35"/>
        </w:numPr>
        <w:spacing w:after="0"/>
        <w:ind w:left="360"/>
        <w:rPr>
          <w:bCs/>
          <w:i/>
          <w:iCs/>
          <w:lang w:eastAsia="zh-CN"/>
        </w:rPr>
      </w:pPr>
      <w:r w:rsidRPr="00B96CF1">
        <w:rPr>
          <w:bCs/>
          <w:i/>
          <w:iCs/>
          <w:lang w:eastAsia="zh-CN"/>
        </w:rPr>
        <w:t>APT600 REFSENS UL configurations are the same than for n71</w:t>
      </w:r>
    </w:p>
    <w:p w14:paraId="5FF97ACA" w14:textId="77777777" w:rsidR="001416E0" w:rsidRDefault="00B96CF1" w:rsidP="001416E0">
      <w:pPr>
        <w:pStyle w:val="ListParagraph"/>
        <w:numPr>
          <w:ilvl w:val="0"/>
          <w:numId w:val="35"/>
        </w:numPr>
        <w:spacing w:after="0"/>
        <w:ind w:left="360"/>
        <w:rPr>
          <w:bCs/>
          <w:i/>
          <w:iCs/>
          <w:lang w:eastAsia="zh-CN"/>
        </w:rPr>
      </w:pPr>
      <w:r w:rsidRPr="001416E0">
        <w:rPr>
          <w:bCs/>
          <w:i/>
          <w:iCs/>
          <w:lang w:eastAsia="zh-CN"/>
        </w:rPr>
        <w:t xml:space="preserve">5, 10 and 15MHz CBW REFSENS baseline is </w:t>
      </w:r>
      <w:r w:rsidR="00963D79" w:rsidRPr="001416E0">
        <w:rPr>
          <w:bCs/>
          <w:i/>
          <w:iCs/>
          <w:lang w:eastAsia="zh-CN"/>
        </w:rPr>
        <w:t xml:space="preserve">the </w:t>
      </w:r>
      <w:r w:rsidRPr="001416E0">
        <w:rPr>
          <w:bCs/>
          <w:i/>
          <w:iCs/>
          <w:lang w:eastAsia="zh-CN"/>
        </w:rPr>
        <w:t>n71 REFSENS values</w:t>
      </w:r>
    </w:p>
    <w:p w14:paraId="78114B2F" w14:textId="2A14186B" w:rsidR="00B96CF1" w:rsidRPr="001416E0" w:rsidRDefault="00B96CF1" w:rsidP="001416E0">
      <w:pPr>
        <w:pStyle w:val="ListParagraph"/>
        <w:numPr>
          <w:ilvl w:val="0"/>
          <w:numId w:val="35"/>
        </w:numPr>
        <w:spacing w:after="0"/>
        <w:ind w:left="360"/>
        <w:rPr>
          <w:bCs/>
          <w:i/>
          <w:iCs/>
          <w:lang w:eastAsia="zh-CN"/>
        </w:rPr>
      </w:pPr>
      <w:r w:rsidRPr="001416E0">
        <w:rPr>
          <w:bCs/>
          <w:i/>
          <w:iCs/>
          <w:lang w:eastAsia="zh-CN"/>
        </w:rPr>
        <w:t>The following options are discussed for next meeting starting from the GTW agreed baseline</w:t>
      </w:r>
    </w:p>
    <w:p w14:paraId="037D4250" w14:textId="77777777" w:rsidR="001416E0" w:rsidRDefault="00B96CF1" w:rsidP="001416E0">
      <w:pPr>
        <w:pStyle w:val="ListParagraph"/>
        <w:numPr>
          <w:ilvl w:val="1"/>
          <w:numId w:val="35"/>
        </w:numPr>
        <w:spacing w:after="0"/>
        <w:ind w:left="720"/>
        <w:rPr>
          <w:bCs/>
          <w:i/>
          <w:iCs/>
          <w:lang w:eastAsia="zh-CN"/>
        </w:rPr>
      </w:pPr>
      <w:r w:rsidRPr="00B96CF1">
        <w:rPr>
          <w:bCs/>
          <w:i/>
          <w:iCs/>
          <w:lang w:eastAsia="zh-CN"/>
        </w:rPr>
        <w:t>Option 1: values are reused as is</w:t>
      </w:r>
    </w:p>
    <w:p w14:paraId="3325E301" w14:textId="77777777" w:rsidR="001416E0" w:rsidRDefault="00B96CF1" w:rsidP="001416E0">
      <w:pPr>
        <w:pStyle w:val="ListParagraph"/>
        <w:numPr>
          <w:ilvl w:val="1"/>
          <w:numId w:val="35"/>
        </w:numPr>
        <w:spacing w:after="0"/>
        <w:ind w:left="720"/>
        <w:rPr>
          <w:bCs/>
          <w:i/>
          <w:iCs/>
          <w:lang w:eastAsia="zh-CN"/>
        </w:rPr>
      </w:pPr>
      <w:r w:rsidRPr="001416E0">
        <w:rPr>
          <w:bCs/>
          <w:i/>
          <w:iCs/>
          <w:lang w:eastAsia="zh-CN"/>
        </w:rPr>
        <w:t>Option 2: values are relaxed by 0.5dB</w:t>
      </w:r>
    </w:p>
    <w:p w14:paraId="49468C0F" w14:textId="77777777" w:rsidR="001416E0" w:rsidRDefault="00B96CF1" w:rsidP="001416E0">
      <w:pPr>
        <w:pStyle w:val="ListParagraph"/>
        <w:numPr>
          <w:ilvl w:val="1"/>
          <w:numId w:val="35"/>
        </w:numPr>
        <w:spacing w:after="0"/>
        <w:ind w:left="720"/>
        <w:rPr>
          <w:bCs/>
          <w:i/>
          <w:iCs/>
          <w:lang w:eastAsia="zh-CN"/>
        </w:rPr>
      </w:pPr>
      <w:r w:rsidRPr="001416E0">
        <w:rPr>
          <w:bCs/>
          <w:i/>
          <w:iCs/>
          <w:lang w:eastAsia="zh-CN"/>
        </w:rPr>
        <w:t>Option 3: values are tightened by 0.5dB</w:t>
      </w:r>
    </w:p>
    <w:p w14:paraId="5935E3E3" w14:textId="192F5E6F" w:rsidR="00B96CF1" w:rsidRPr="001416E0" w:rsidRDefault="00B96CF1" w:rsidP="001416E0">
      <w:pPr>
        <w:pStyle w:val="ListParagraph"/>
        <w:numPr>
          <w:ilvl w:val="1"/>
          <w:numId w:val="35"/>
        </w:numPr>
        <w:spacing w:after="0"/>
        <w:ind w:left="720"/>
        <w:rPr>
          <w:bCs/>
          <w:i/>
          <w:iCs/>
          <w:lang w:eastAsia="zh-CN"/>
        </w:rPr>
      </w:pPr>
      <w:r w:rsidRPr="001416E0">
        <w:rPr>
          <w:bCs/>
          <w:i/>
          <w:iCs/>
          <w:lang w:eastAsia="zh-CN"/>
        </w:rPr>
        <w:t>Option 4: 0.5dB relaxation is applied to channels overlapping the 612-617MHz range”</w:t>
      </w:r>
    </w:p>
    <w:p w14:paraId="55D04FBF" w14:textId="77777777" w:rsidR="00293BD2" w:rsidRDefault="00293BD2" w:rsidP="00F11C6A">
      <w:pPr>
        <w:spacing w:after="0"/>
        <w:rPr>
          <w:lang w:eastAsia="zh-CN"/>
        </w:rPr>
      </w:pPr>
    </w:p>
    <w:p w14:paraId="5B86DAAA" w14:textId="0E589D1F" w:rsidR="00B96CF1" w:rsidRDefault="00F11C6A" w:rsidP="00F11C6A">
      <w:pPr>
        <w:spacing w:after="0"/>
        <w:rPr>
          <w:lang w:eastAsia="zh-CN"/>
        </w:rPr>
      </w:pPr>
      <w:r>
        <w:rPr>
          <w:lang w:eastAsia="zh-CN"/>
        </w:rPr>
        <w:t xml:space="preserve">Although we do not want to repeat all the arguments </w:t>
      </w:r>
      <w:r w:rsidR="00293BD2">
        <w:rPr>
          <w:lang w:eastAsia="zh-CN"/>
        </w:rPr>
        <w:t>previously</w:t>
      </w:r>
      <w:r>
        <w:rPr>
          <w:lang w:eastAsia="zh-CN"/>
        </w:rPr>
        <w:t xml:space="preserve"> provided in [6], there are</w:t>
      </w:r>
      <w:r w:rsidR="00293BD2">
        <w:rPr>
          <w:lang w:eastAsia="zh-CN"/>
        </w:rPr>
        <w:t xml:space="preserve"> a</w:t>
      </w:r>
      <w:r>
        <w:rPr>
          <w:lang w:eastAsia="zh-CN"/>
        </w:rPr>
        <w:t xml:space="preserve"> few facts that can</w:t>
      </w:r>
      <w:r w:rsidR="00293BD2">
        <w:rPr>
          <w:lang w:eastAsia="zh-CN"/>
        </w:rPr>
        <w:t>no</w:t>
      </w:r>
      <w:r>
        <w:rPr>
          <w:lang w:eastAsia="zh-CN"/>
        </w:rPr>
        <w:t>t be ignored:</w:t>
      </w:r>
    </w:p>
    <w:p w14:paraId="7C4F60DE" w14:textId="3904F3A2" w:rsidR="00F11C6A" w:rsidRDefault="00F11C6A" w:rsidP="00F11C6A">
      <w:pPr>
        <w:pStyle w:val="ListParagraph"/>
        <w:numPr>
          <w:ilvl w:val="0"/>
          <w:numId w:val="39"/>
        </w:numPr>
        <w:spacing w:after="0"/>
        <w:rPr>
          <w:lang w:eastAsia="zh-CN"/>
        </w:rPr>
      </w:pPr>
      <w:r>
        <w:rPr>
          <w:lang w:eastAsia="zh-CN"/>
        </w:rPr>
        <w:lastRenderedPageBreak/>
        <w:t>The n105 duplexer is the most challenging low band duplexer and the small 4MHz gap makes the compromise between IL in the first 5MHz DL and rejection in CH36 very difficult to maintain over process and temperature as the filter response shift in frequency.</w:t>
      </w:r>
      <w:r w:rsidR="00E92628">
        <w:rPr>
          <w:lang w:eastAsia="zh-CN"/>
        </w:rPr>
        <w:t xml:space="preserve"> Note that:</w:t>
      </w:r>
    </w:p>
    <w:p w14:paraId="48713B47" w14:textId="77777777" w:rsidR="00E92628" w:rsidRDefault="00E92628" w:rsidP="00F11C6A">
      <w:pPr>
        <w:pStyle w:val="ListParagraph"/>
        <w:numPr>
          <w:ilvl w:val="1"/>
          <w:numId w:val="39"/>
        </w:numPr>
        <w:spacing w:after="0"/>
        <w:rPr>
          <w:lang w:eastAsia="zh-CN"/>
        </w:rPr>
      </w:pPr>
      <w:r>
        <w:rPr>
          <w:lang w:eastAsia="zh-CN"/>
        </w:rPr>
        <w:t>C</w:t>
      </w:r>
      <w:r w:rsidR="00F11C6A">
        <w:rPr>
          <w:lang w:eastAsia="zh-CN"/>
        </w:rPr>
        <w:t>oexistence simulations only uses typical filter values (as is usual)</w:t>
      </w:r>
    </w:p>
    <w:p w14:paraId="4CB7C702" w14:textId="5B686A98" w:rsidR="00F11C6A" w:rsidRDefault="00293BD2" w:rsidP="00F11C6A">
      <w:pPr>
        <w:pStyle w:val="ListParagraph"/>
        <w:numPr>
          <w:ilvl w:val="1"/>
          <w:numId w:val="39"/>
        </w:numPr>
        <w:spacing w:after="0"/>
        <w:rPr>
          <w:lang w:eastAsia="zh-CN"/>
        </w:rPr>
      </w:pPr>
      <w:r>
        <w:rPr>
          <w:lang w:eastAsia="zh-CN"/>
        </w:rPr>
        <w:t>B</w:t>
      </w:r>
      <w:r w:rsidR="00F11C6A">
        <w:rPr>
          <w:lang w:eastAsia="zh-CN"/>
        </w:rPr>
        <w:t>locking requirements</w:t>
      </w:r>
      <w:r w:rsidR="00E92628">
        <w:rPr>
          <w:lang w:eastAsia="zh-CN"/>
        </w:rPr>
        <w:t xml:space="preserve"> are only tested a room temperature</w:t>
      </w:r>
    </w:p>
    <w:p w14:paraId="2B2E36B7" w14:textId="5894A3B7" w:rsidR="00E92628" w:rsidRDefault="00293BD2" w:rsidP="00F11C6A">
      <w:pPr>
        <w:pStyle w:val="ListParagraph"/>
        <w:numPr>
          <w:ilvl w:val="1"/>
          <w:numId w:val="39"/>
        </w:numPr>
        <w:spacing w:after="0"/>
        <w:rPr>
          <w:lang w:eastAsia="zh-CN"/>
        </w:rPr>
      </w:pPr>
      <w:r>
        <w:rPr>
          <w:lang w:eastAsia="zh-CN"/>
        </w:rPr>
        <w:t>W</w:t>
      </w:r>
      <w:r w:rsidR="00E92628">
        <w:rPr>
          <w:lang w:eastAsia="zh-CN"/>
        </w:rPr>
        <w:t>hile REFSENS is tested ETC and thus sees all the process and temperature variations</w:t>
      </w:r>
    </w:p>
    <w:p w14:paraId="76E73EF8" w14:textId="12073EEB" w:rsidR="00E92628" w:rsidRDefault="00E92628" w:rsidP="00E92628">
      <w:pPr>
        <w:pStyle w:val="ListParagraph"/>
        <w:numPr>
          <w:ilvl w:val="0"/>
          <w:numId w:val="39"/>
        </w:numPr>
        <w:spacing w:after="0"/>
        <w:rPr>
          <w:lang w:eastAsia="zh-CN"/>
        </w:rPr>
      </w:pPr>
      <w:r>
        <w:rPr>
          <w:lang w:eastAsia="zh-CN"/>
        </w:rPr>
        <w:t xml:space="preserve">If some of these issues can be helped with new filter technologies, the 3GPP requirement should be technology agnostic and some of these new technologies result in larger and more expensive filters and their maturity may not </w:t>
      </w:r>
      <w:r w:rsidR="00293BD2">
        <w:rPr>
          <w:lang w:eastAsia="zh-CN"/>
        </w:rPr>
        <w:t>be able</w:t>
      </w:r>
      <w:r>
        <w:rPr>
          <w:lang w:eastAsia="zh-CN"/>
        </w:rPr>
        <w:t xml:space="preserve"> to serve all </w:t>
      </w:r>
      <w:r w:rsidR="00293BD2">
        <w:rPr>
          <w:lang w:eastAsia="zh-CN"/>
        </w:rPr>
        <w:t xml:space="preserve">of </w:t>
      </w:r>
      <w:r>
        <w:rPr>
          <w:lang w:eastAsia="zh-CN"/>
        </w:rPr>
        <w:t xml:space="preserve">the volume needed for designs that are </w:t>
      </w:r>
      <w:r w:rsidR="00293BD2">
        <w:rPr>
          <w:lang w:eastAsia="zh-CN"/>
        </w:rPr>
        <w:t>developed</w:t>
      </w:r>
      <w:r>
        <w:rPr>
          <w:lang w:eastAsia="zh-CN"/>
        </w:rPr>
        <w:t xml:space="preserve"> now.</w:t>
      </w:r>
    </w:p>
    <w:p w14:paraId="3AD3FD48" w14:textId="48D3F887" w:rsidR="00E92628" w:rsidRDefault="00E92628" w:rsidP="00E92628">
      <w:pPr>
        <w:pStyle w:val="ListParagraph"/>
        <w:numPr>
          <w:ilvl w:val="0"/>
          <w:numId w:val="39"/>
        </w:numPr>
        <w:spacing w:after="0"/>
        <w:rPr>
          <w:lang w:eastAsia="zh-CN"/>
        </w:rPr>
      </w:pPr>
      <w:r>
        <w:rPr>
          <w:lang w:eastAsia="zh-CN"/>
        </w:rPr>
        <w:t xml:space="preserve">Finally, </w:t>
      </w:r>
      <w:r w:rsidR="00293BD2">
        <w:rPr>
          <w:lang w:eastAsia="zh-CN"/>
        </w:rPr>
        <w:t>b</w:t>
      </w:r>
      <w:r>
        <w:rPr>
          <w:lang w:eastAsia="zh-CN"/>
        </w:rPr>
        <w:t>ecause of the above it is not feasible to support the size and cost impact of implementing both n71 and n105 filter in a phone: n105 and n71 co-banding is a must and shall be enabled by the specification:</w:t>
      </w:r>
    </w:p>
    <w:p w14:paraId="39A0EC42" w14:textId="77777777" w:rsidR="00845F80" w:rsidRDefault="00E92628" w:rsidP="00E92628">
      <w:pPr>
        <w:pStyle w:val="ListParagraph"/>
        <w:numPr>
          <w:ilvl w:val="1"/>
          <w:numId w:val="39"/>
        </w:numPr>
        <w:spacing w:after="0"/>
        <w:rPr>
          <w:lang w:eastAsia="zh-CN"/>
        </w:rPr>
      </w:pPr>
      <w:r>
        <w:rPr>
          <w:lang w:eastAsia="zh-CN"/>
        </w:rPr>
        <w:t>This means that the REFSENS for n71 frequency range is not degraded even if the filter becomes mo</w:t>
      </w:r>
      <w:r w:rsidR="00845F80">
        <w:rPr>
          <w:lang w:eastAsia="zh-CN"/>
        </w:rPr>
        <w:t>re difficult</w:t>
      </w:r>
    </w:p>
    <w:p w14:paraId="7BE7FD49" w14:textId="626CF0D0" w:rsidR="00E92628" w:rsidRDefault="00845F80" w:rsidP="00845F80">
      <w:pPr>
        <w:pStyle w:val="ListParagraph"/>
        <w:numPr>
          <w:ilvl w:val="2"/>
          <w:numId w:val="39"/>
        </w:numPr>
        <w:spacing w:after="0"/>
        <w:rPr>
          <w:lang w:eastAsia="zh-CN"/>
        </w:rPr>
      </w:pPr>
      <w:r>
        <w:rPr>
          <w:lang w:eastAsia="zh-CN"/>
        </w:rPr>
        <w:t>Note that the n71 REFSENS was set with a dual duplexer approach, then kept for the more challenging full duplexer. Here we need the 617-652MHz range to provide the same performance with the further challenging n105 filter.</w:t>
      </w:r>
    </w:p>
    <w:p w14:paraId="326BC3B8" w14:textId="6853B2B2" w:rsidR="00E92628" w:rsidRDefault="00E92628" w:rsidP="00E92628">
      <w:pPr>
        <w:pStyle w:val="ListParagraph"/>
        <w:numPr>
          <w:ilvl w:val="1"/>
          <w:numId w:val="39"/>
        </w:numPr>
        <w:spacing w:after="0"/>
        <w:rPr>
          <w:lang w:eastAsia="zh-CN"/>
        </w:rPr>
      </w:pPr>
      <w:r>
        <w:rPr>
          <w:lang w:eastAsia="zh-CN"/>
        </w:rPr>
        <w:t>The 7dB higher blocker (-15dBm) shall now be supported with only 4MHz gap instead on 9MHz</w:t>
      </w:r>
      <w:r w:rsidR="00845F80">
        <w:rPr>
          <w:lang w:eastAsia="zh-CN"/>
        </w:rPr>
        <w:t xml:space="preserve"> putting more constraints on the CH36 DL filter rejection</w:t>
      </w:r>
      <w:r w:rsidR="00293BD2">
        <w:rPr>
          <w:lang w:eastAsia="zh-CN"/>
        </w:rPr>
        <w:t xml:space="preserve"> and IL at the bottom of the band</w:t>
      </w:r>
      <w:r w:rsidR="00845F80">
        <w:rPr>
          <w:lang w:eastAsia="zh-CN"/>
        </w:rPr>
        <w:t xml:space="preserve"> over ETC conditions.</w:t>
      </w:r>
    </w:p>
    <w:p w14:paraId="712C8E01" w14:textId="6DFB41A9" w:rsidR="00E92628" w:rsidRDefault="00E92628" w:rsidP="00E92628">
      <w:pPr>
        <w:pStyle w:val="ListParagraph"/>
        <w:numPr>
          <w:ilvl w:val="1"/>
          <w:numId w:val="39"/>
        </w:numPr>
        <w:spacing w:after="0"/>
        <w:rPr>
          <w:lang w:eastAsia="zh-CN"/>
        </w:rPr>
      </w:pPr>
      <w:r>
        <w:rPr>
          <w:lang w:eastAsia="zh-CN"/>
        </w:rPr>
        <w:t>This is less of an issue</w:t>
      </w:r>
      <w:r w:rsidR="00293BD2">
        <w:rPr>
          <w:lang w:eastAsia="zh-CN"/>
        </w:rPr>
        <w:t>,</w:t>
      </w:r>
      <w:r>
        <w:rPr>
          <w:lang w:eastAsia="zh-CN"/>
        </w:rPr>
        <w:t xml:space="preserve"> but appropriate rejection in n29 band is needed from the UL filter.</w:t>
      </w:r>
    </w:p>
    <w:p w14:paraId="6ADD708A" w14:textId="58D928CF" w:rsidR="00E92628" w:rsidRDefault="00E92628" w:rsidP="00E92628">
      <w:pPr>
        <w:pStyle w:val="ListParagraph"/>
        <w:numPr>
          <w:ilvl w:val="0"/>
          <w:numId w:val="39"/>
        </w:numPr>
        <w:spacing w:after="0"/>
        <w:rPr>
          <w:lang w:eastAsia="zh-CN"/>
        </w:rPr>
      </w:pPr>
      <w:r>
        <w:rPr>
          <w:lang w:eastAsia="zh-CN"/>
        </w:rPr>
        <w:t xml:space="preserve">A similar approach than </w:t>
      </w:r>
      <w:r w:rsidR="00293BD2">
        <w:rPr>
          <w:lang w:eastAsia="zh-CN"/>
        </w:rPr>
        <w:t xml:space="preserve">for </w:t>
      </w:r>
      <w:r>
        <w:rPr>
          <w:lang w:eastAsia="zh-CN"/>
        </w:rPr>
        <w:t xml:space="preserve">n78 vs n77 REFSENS can be used and thus we select option 4 where a small </w:t>
      </w:r>
      <w:r w:rsidRPr="00E92628">
        <w:rPr>
          <w:lang w:eastAsia="zh-CN"/>
        </w:rPr>
        <w:t>0.5dB relaxation is applied to channels overlapping the 612-617MHz range</w:t>
      </w:r>
      <w:r>
        <w:rPr>
          <w:lang w:eastAsia="zh-CN"/>
        </w:rPr>
        <w:t>.</w:t>
      </w:r>
      <w:r w:rsidR="00EB341F">
        <w:rPr>
          <w:lang w:eastAsia="zh-CN"/>
        </w:rPr>
        <w:t xml:space="preserve"> For the wider channels, since the IL increase in the </w:t>
      </w:r>
      <w:r w:rsidR="00293BD2">
        <w:rPr>
          <w:lang w:eastAsia="zh-CN"/>
        </w:rPr>
        <w:t xml:space="preserve">lower </w:t>
      </w:r>
      <w:r w:rsidR="00EB341F">
        <w:rPr>
          <w:lang w:eastAsia="zh-CN"/>
        </w:rPr>
        <w:t>5M</w:t>
      </w:r>
      <w:r w:rsidR="00293BD2">
        <w:rPr>
          <w:lang w:eastAsia="zh-CN"/>
        </w:rPr>
        <w:t>H</w:t>
      </w:r>
      <w:r w:rsidR="00EB341F">
        <w:rPr>
          <w:lang w:eastAsia="zh-CN"/>
        </w:rPr>
        <w:t>z gets compensated by integrating over a larger frequency range and the bandwidth already being affected by UL de-sense, the relaxation can be ignored.</w:t>
      </w:r>
    </w:p>
    <w:p w14:paraId="495C6D66" w14:textId="078C2B4C" w:rsidR="00845F80" w:rsidRDefault="00845F80" w:rsidP="00845F80">
      <w:pPr>
        <w:spacing w:after="0"/>
        <w:rPr>
          <w:lang w:eastAsia="zh-CN"/>
        </w:rPr>
      </w:pPr>
    </w:p>
    <w:p w14:paraId="2765B5A3" w14:textId="0C283FFE" w:rsidR="00845F80" w:rsidRDefault="00845F80" w:rsidP="00845F80">
      <w:pPr>
        <w:spacing w:after="0"/>
        <w:rPr>
          <w:lang w:eastAsia="zh-CN"/>
        </w:rPr>
      </w:pPr>
      <w:r>
        <w:rPr>
          <w:lang w:eastAsia="zh-CN"/>
        </w:rPr>
        <w:t xml:space="preserve">Based on the above option for 5/10/15MHz channels and accounting for the previous chapter for the 20/25/30/35 MHz channels, a complete n105 REFSENS table is derived </w:t>
      </w:r>
      <w:r w:rsidR="00293BD2">
        <w:rPr>
          <w:lang w:eastAsia="zh-CN"/>
        </w:rPr>
        <w:t>together with the associated</w:t>
      </w:r>
      <w:r>
        <w:rPr>
          <w:lang w:eastAsia="zh-CN"/>
        </w:rPr>
        <w:t xml:space="preserve"> UL configuration which was already agreed to be the same than for n71.</w:t>
      </w:r>
    </w:p>
    <w:p w14:paraId="3A427F51" w14:textId="241B18A0" w:rsidR="00845F80" w:rsidRDefault="00845F80" w:rsidP="00845F80">
      <w:pPr>
        <w:spacing w:after="0"/>
        <w:rPr>
          <w:lang w:eastAsia="zh-CN"/>
        </w:rPr>
      </w:pPr>
    </w:p>
    <w:p w14:paraId="3E8C6F91" w14:textId="2A14137C" w:rsidR="00845F80" w:rsidRPr="00845F80" w:rsidRDefault="00845F80" w:rsidP="00845F80">
      <w:pPr>
        <w:spacing w:after="0"/>
        <w:rPr>
          <w:b/>
          <w:bCs/>
          <w:lang w:eastAsia="zh-CN"/>
        </w:rPr>
      </w:pPr>
      <w:r w:rsidRPr="00845F80">
        <w:rPr>
          <w:b/>
          <w:bCs/>
          <w:lang w:eastAsia="zh-CN"/>
        </w:rPr>
        <w:t xml:space="preserve">Proposal for </w:t>
      </w:r>
      <w:r>
        <w:rPr>
          <w:b/>
          <w:bCs/>
          <w:lang w:eastAsia="zh-CN"/>
        </w:rPr>
        <w:t xml:space="preserve">n105 </w:t>
      </w:r>
      <w:r w:rsidRPr="00845F80">
        <w:rPr>
          <w:b/>
          <w:bCs/>
          <w:lang w:eastAsia="zh-CN"/>
        </w:rPr>
        <w:t>REFSENS:</w:t>
      </w:r>
    </w:p>
    <w:p w14:paraId="1CFE7001" w14:textId="343B7226" w:rsidR="00845F80" w:rsidRPr="00845F80" w:rsidRDefault="00845F80" w:rsidP="00845F80">
      <w:pPr>
        <w:pStyle w:val="ListParagraph"/>
        <w:numPr>
          <w:ilvl w:val="0"/>
          <w:numId w:val="40"/>
        </w:numPr>
        <w:spacing w:after="0"/>
        <w:rPr>
          <w:b/>
          <w:bCs/>
          <w:lang w:eastAsia="zh-CN"/>
        </w:rPr>
      </w:pPr>
      <w:r>
        <w:rPr>
          <w:b/>
          <w:bCs/>
          <w:lang w:eastAsia="zh-CN"/>
        </w:rPr>
        <w:t>Co-banding of n71 and n105 is supported</w:t>
      </w:r>
    </w:p>
    <w:p w14:paraId="37C6BC91" w14:textId="77777777" w:rsidR="00EB341F" w:rsidRDefault="00845F80" w:rsidP="00845F80">
      <w:pPr>
        <w:pStyle w:val="ListParagraph"/>
        <w:numPr>
          <w:ilvl w:val="0"/>
          <w:numId w:val="40"/>
        </w:numPr>
        <w:spacing w:after="0"/>
        <w:rPr>
          <w:b/>
          <w:bCs/>
          <w:lang w:eastAsia="zh-CN"/>
        </w:rPr>
      </w:pPr>
      <w:r>
        <w:rPr>
          <w:b/>
          <w:bCs/>
          <w:lang w:eastAsia="zh-CN"/>
        </w:rPr>
        <w:t xml:space="preserve">The REFSENS uses n71 REFSENS for 5, 10 and </w:t>
      </w:r>
      <w:r w:rsidR="00EB341F">
        <w:rPr>
          <w:b/>
          <w:bCs/>
          <w:lang w:eastAsia="zh-CN"/>
        </w:rPr>
        <w:t>15</w:t>
      </w:r>
      <w:r>
        <w:rPr>
          <w:b/>
          <w:bCs/>
          <w:lang w:eastAsia="zh-CN"/>
        </w:rPr>
        <w:t>MHz</w:t>
      </w:r>
      <w:r w:rsidR="00EB341F">
        <w:rPr>
          <w:b/>
          <w:bCs/>
          <w:lang w:eastAsia="zh-CN"/>
        </w:rPr>
        <w:t xml:space="preserve"> with a relaxation of 0.5dB for the channels overlapping the 612 to 617MHz frequency range. </w:t>
      </w:r>
    </w:p>
    <w:p w14:paraId="1DD0C65A" w14:textId="57EDBF7D" w:rsidR="00845F80" w:rsidRDefault="00EB341F" w:rsidP="00845F80">
      <w:pPr>
        <w:pStyle w:val="ListParagraph"/>
        <w:numPr>
          <w:ilvl w:val="0"/>
          <w:numId w:val="40"/>
        </w:numPr>
        <w:spacing w:after="0"/>
        <w:rPr>
          <w:b/>
          <w:bCs/>
          <w:lang w:eastAsia="zh-CN"/>
        </w:rPr>
      </w:pPr>
      <w:r>
        <w:rPr>
          <w:b/>
          <w:bCs/>
          <w:lang w:eastAsia="zh-CN"/>
        </w:rPr>
        <w:t>The 15MHz channel gets a small correction to account for lower IMD7 impact</w:t>
      </w:r>
    </w:p>
    <w:p w14:paraId="56D7FB05" w14:textId="0A7D12ED" w:rsidR="00EB341F" w:rsidRDefault="00EB341F" w:rsidP="00845F80">
      <w:pPr>
        <w:pStyle w:val="ListParagraph"/>
        <w:numPr>
          <w:ilvl w:val="0"/>
          <w:numId w:val="40"/>
        </w:numPr>
        <w:spacing w:after="0"/>
        <w:rPr>
          <w:b/>
          <w:bCs/>
          <w:lang w:eastAsia="zh-CN"/>
        </w:rPr>
      </w:pPr>
      <w:r>
        <w:rPr>
          <w:b/>
          <w:bCs/>
          <w:lang w:eastAsia="zh-CN"/>
        </w:rPr>
        <w:t xml:space="preserve">The 20/25/30/35 MHz are corrected for lower IMD5 impact according to calculations </w:t>
      </w:r>
    </w:p>
    <w:p w14:paraId="422DBA0D" w14:textId="59ACA1DE" w:rsidR="00EB341F" w:rsidRDefault="00EB341F" w:rsidP="00845F80">
      <w:pPr>
        <w:pStyle w:val="ListParagraph"/>
        <w:numPr>
          <w:ilvl w:val="0"/>
          <w:numId w:val="40"/>
        </w:numPr>
        <w:spacing w:after="0"/>
        <w:rPr>
          <w:b/>
          <w:bCs/>
          <w:lang w:eastAsia="zh-CN"/>
        </w:rPr>
      </w:pPr>
      <w:r>
        <w:rPr>
          <w:b/>
          <w:bCs/>
          <w:lang w:eastAsia="zh-CN"/>
        </w:rPr>
        <w:t>The channels affected by IMD use tentative values to allow confirmation by measurements.</w:t>
      </w:r>
    </w:p>
    <w:p w14:paraId="4ECAB3B0" w14:textId="49CB385C" w:rsidR="00EB341F" w:rsidRPr="00845F80" w:rsidRDefault="00EB341F" w:rsidP="00845F80">
      <w:pPr>
        <w:pStyle w:val="ListParagraph"/>
        <w:numPr>
          <w:ilvl w:val="0"/>
          <w:numId w:val="40"/>
        </w:numPr>
        <w:spacing w:after="0"/>
        <w:rPr>
          <w:b/>
          <w:bCs/>
          <w:lang w:eastAsia="zh-CN"/>
        </w:rPr>
      </w:pPr>
      <w:r>
        <w:rPr>
          <w:b/>
          <w:bCs/>
          <w:lang w:eastAsia="zh-CN"/>
        </w:rPr>
        <w:t xml:space="preserve">This is implemented in the specification as shown in </w:t>
      </w:r>
      <w:r w:rsidR="00293BD2">
        <w:rPr>
          <w:b/>
          <w:bCs/>
          <w:lang w:eastAsia="zh-CN"/>
        </w:rPr>
        <w:t>T</w:t>
      </w:r>
      <w:r>
        <w:rPr>
          <w:b/>
          <w:bCs/>
          <w:lang w:eastAsia="zh-CN"/>
        </w:rPr>
        <w:t>ables 3 and 4.</w:t>
      </w:r>
    </w:p>
    <w:p w14:paraId="5ECEB021" w14:textId="6D2F5364" w:rsidR="00931048" w:rsidRDefault="00931048" w:rsidP="00494D5C">
      <w:pPr>
        <w:pStyle w:val="Caption"/>
        <w:keepNext/>
        <w:jc w:val="center"/>
      </w:pPr>
      <w:r>
        <w:t xml:space="preserve">Table </w:t>
      </w:r>
      <w:r w:rsidR="0083541E">
        <w:fldChar w:fldCharType="begin"/>
      </w:r>
      <w:r w:rsidR="0083541E">
        <w:instrText xml:space="preserve"> SEQ Table \* ARABIC </w:instrText>
      </w:r>
      <w:r w:rsidR="0083541E">
        <w:fldChar w:fldCharType="separate"/>
      </w:r>
      <w:r>
        <w:rPr>
          <w:noProof/>
        </w:rPr>
        <w:t>3</w:t>
      </w:r>
      <w:r w:rsidR="0083541E">
        <w:rPr>
          <w:noProof/>
        </w:rPr>
        <w:fldChar w:fldCharType="end"/>
      </w:r>
      <w:r w:rsidR="00494D5C">
        <w:t>:</w:t>
      </w:r>
      <w:r w:rsidR="00494D5C" w:rsidRPr="00494D5C">
        <w:rPr>
          <w:bCs/>
        </w:rPr>
        <w:t xml:space="preserve"> </w:t>
      </w:r>
      <w:r w:rsidR="00494D5C" w:rsidRPr="00D20DEA">
        <w:rPr>
          <w:bCs/>
        </w:rPr>
        <w:t xml:space="preserve">REFSENS level for </w:t>
      </w:r>
      <w:r w:rsidR="00494D5C">
        <w:rPr>
          <w:bCs/>
        </w:rPr>
        <w:t>n105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615"/>
        <w:gridCol w:w="807"/>
        <w:gridCol w:w="754"/>
        <w:gridCol w:w="887"/>
        <w:gridCol w:w="847"/>
        <w:gridCol w:w="847"/>
        <w:gridCol w:w="831"/>
        <w:gridCol w:w="808"/>
        <w:gridCol w:w="8"/>
      </w:tblGrid>
      <w:tr w:rsidR="00931048" w:rsidRPr="00D20DEA" w14:paraId="335CD639" w14:textId="77777777" w:rsidTr="00963D79">
        <w:trPr>
          <w:trHeight w:val="187"/>
          <w:tblHeader/>
          <w:jc w:val="center"/>
        </w:trPr>
        <w:tc>
          <w:tcPr>
            <w:tcW w:w="7533" w:type="dxa"/>
            <w:gridSpan w:val="10"/>
            <w:tcBorders>
              <w:bottom w:val="single" w:sz="4" w:space="0" w:color="auto"/>
            </w:tcBorders>
            <w:shd w:val="clear" w:color="auto" w:fill="auto"/>
            <w:vAlign w:val="center"/>
          </w:tcPr>
          <w:p w14:paraId="74AD31CF" w14:textId="77777777" w:rsidR="00931048" w:rsidRPr="00D20DEA" w:rsidRDefault="00931048" w:rsidP="00E92628">
            <w:pPr>
              <w:pStyle w:val="TAH"/>
              <w:rPr>
                <w:rFonts w:eastAsia="PMingLiU"/>
                <w:bCs/>
              </w:rPr>
            </w:pPr>
            <w:r w:rsidRPr="00D20DEA">
              <w:rPr>
                <w:rFonts w:eastAsia="PMingLiU"/>
                <w:bCs/>
              </w:rPr>
              <w:t>Operating band / SCS / Channel bandwidth</w:t>
            </w:r>
          </w:p>
        </w:tc>
      </w:tr>
      <w:tr w:rsidR="00931048" w:rsidRPr="00D20DEA" w14:paraId="0E099764" w14:textId="77777777" w:rsidTr="00963D79">
        <w:trPr>
          <w:gridAfter w:val="1"/>
          <w:wAfter w:w="8" w:type="dxa"/>
          <w:trHeight w:val="187"/>
          <w:tblHeader/>
          <w:jc w:val="center"/>
        </w:trPr>
        <w:tc>
          <w:tcPr>
            <w:tcW w:w="1129" w:type="dxa"/>
            <w:tcBorders>
              <w:bottom w:val="single" w:sz="4" w:space="0" w:color="auto"/>
            </w:tcBorders>
            <w:shd w:val="clear" w:color="auto" w:fill="auto"/>
            <w:vAlign w:val="center"/>
          </w:tcPr>
          <w:p w14:paraId="0B9324A6" w14:textId="77777777" w:rsidR="00931048" w:rsidRPr="00D20DEA" w:rsidRDefault="00931048" w:rsidP="00E92628">
            <w:pPr>
              <w:pStyle w:val="TAH"/>
              <w:rPr>
                <w:rFonts w:eastAsia="PMingLiU"/>
                <w:bCs/>
              </w:rPr>
            </w:pPr>
            <w:r w:rsidRPr="00D20DEA">
              <w:rPr>
                <w:rFonts w:eastAsia="PMingLiU"/>
                <w:bCs/>
              </w:rPr>
              <w:t>Operating Band</w:t>
            </w:r>
          </w:p>
        </w:tc>
        <w:tc>
          <w:tcPr>
            <w:tcW w:w="615" w:type="dxa"/>
            <w:vAlign w:val="center"/>
          </w:tcPr>
          <w:p w14:paraId="26F1A2E9" w14:textId="77777777" w:rsidR="00931048" w:rsidRPr="00D20DEA" w:rsidRDefault="00931048" w:rsidP="00E92628">
            <w:pPr>
              <w:pStyle w:val="TAH"/>
              <w:rPr>
                <w:rFonts w:eastAsia="PMingLiU"/>
                <w:bCs/>
              </w:rPr>
            </w:pPr>
            <w:r w:rsidRPr="00D20DEA">
              <w:rPr>
                <w:rFonts w:eastAsia="PMingLiU"/>
                <w:bCs/>
              </w:rPr>
              <w:t>SCS kHz</w:t>
            </w:r>
          </w:p>
        </w:tc>
        <w:tc>
          <w:tcPr>
            <w:tcW w:w="807" w:type="dxa"/>
            <w:shd w:val="clear" w:color="auto" w:fill="auto"/>
            <w:vAlign w:val="center"/>
          </w:tcPr>
          <w:p w14:paraId="1F039DBD" w14:textId="77777777" w:rsidR="00931048" w:rsidRPr="00D20DEA" w:rsidRDefault="00931048" w:rsidP="00E92628">
            <w:pPr>
              <w:pStyle w:val="TAH"/>
              <w:rPr>
                <w:rFonts w:eastAsia="PMingLiU"/>
                <w:bCs/>
              </w:rPr>
            </w:pPr>
            <w:r w:rsidRPr="00D20DEA">
              <w:rPr>
                <w:rFonts w:eastAsia="PMingLiU"/>
                <w:bCs/>
              </w:rPr>
              <w:t>5</w:t>
            </w:r>
          </w:p>
          <w:p w14:paraId="68C70E03" w14:textId="77777777" w:rsidR="00931048" w:rsidRPr="00D20DEA" w:rsidRDefault="00931048" w:rsidP="00E92628">
            <w:pPr>
              <w:pStyle w:val="TAH"/>
              <w:rPr>
                <w:rFonts w:eastAsia="PMingLiU"/>
                <w:bCs/>
              </w:rPr>
            </w:pPr>
            <w:r w:rsidRPr="00D20DEA">
              <w:rPr>
                <w:rFonts w:eastAsia="PMingLiU"/>
                <w:bCs/>
              </w:rPr>
              <w:t>MHz</w:t>
            </w:r>
            <w:r w:rsidRPr="00D20DEA">
              <w:rPr>
                <w:rFonts w:eastAsia="PMingLiU"/>
                <w:bCs/>
              </w:rPr>
              <w:br/>
              <w:t>(dBm)</w:t>
            </w:r>
          </w:p>
        </w:tc>
        <w:tc>
          <w:tcPr>
            <w:tcW w:w="754" w:type="dxa"/>
            <w:shd w:val="clear" w:color="auto" w:fill="auto"/>
            <w:vAlign w:val="center"/>
          </w:tcPr>
          <w:p w14:paraId="37716554" w14:textId="77777777" w:rsidR="00931048" w:rsidRPr="00D20DEA" w:rsidRDefault="00931048" w:rsidP="00E92628">
            <w:pPr>
              <w:pStyle w:val="TAH"/>
              <w:rPr>
                <w:rFonts w:eastAsia="PMingLiU"/>
                <w:bCs/>
              </w:rPr>
            </w:pPr>
            <w:r w:rsidRPr="00D20DEA">
              <w:rPr>
                <w:rFonts w:eastAsia="PMingLiU"/>
                <w:bCs/>
              </w:rPr>
              <w:t>10</w:t>
            </w:r>
          </w:p>
          <w:p w14:paraId="144911FF" w14:textId="77777777" w:rsidR="00931048" w:rsidRPr="00D20DEA" w:rsidRDefault="00931048" w:rsidP="00E92628">
            <w:pPr>
              <w:pStyle w:val="TAH"/>
              <w:rPr>
                <w:rFonts w:eastAsia="PMingLiU"/>
                <w:bCs/>
              </w:rPr>
            </w:pPr>
            <w:r w:rsidRPr="00D20DEA">
              <w:rPr>
                <w:rFonts w:eastAsia="PMingLiU"/>
                <w:bCs/>
              </w:rPr>
              <w:t>MHz</w:t>
            </w:r>
            <w:r w:rsidRPr="00D20DEA">
              <w:rPr>
                <w:rFonts w:eastAsia="PMingLiU"/>
                <w:bCs/>
              </w:rPr>
              <w:br/>
              <w:t>(dBm)</w:t>
            </w:r>
          </w:p>
        </w:tc>
        <w:tc>
          <w:tcPr>
            <w:tcW w:w="887" w:type="dxa"/>
            <w:shd w:val="clear" w:color="auto" w:fill="auto"/>
            <w:vAlign w:val="center"/>
          </w:tcPr>
          <w:p w14:paraId="52442C3E" w14:textId="77777777" w:rsidR="00931048" w:rsidRPr="00D20DEA" w:rsidRDefault="00931048" w:rsidP="00E92628">
            <w:pPr>
              <w:pStyle w:val="TAH"/>
              <w:rPr>
                <w:rFonts w:eastAsia="PMingLiU"/>
                <w:bCs/>
              </w:rPr>
            </w:pPr>
            <w:r w:rsidRPr="00D20DEA">
              <w:rPr>
                <w:rFonts w:eastAsia="PMingLiU"/>
                <w:bCs/>
              </w:rPr>
              <w:t>15</w:t>
            </w:r>
          </w:p>
          <w:p w14:paraId="1C6220BD" w14:textId="77777777" w:rsidR="00931048" w:rsidRPr="00D20DEA" w:rsidRDefault="00931048" w:rsidP="00E92628">
            <w:pPr>
              <w:pStyle w:val="TAH"/>
              <w:rPr>
                <w:rFonts w:eastAsia="PMingLiU"/>
                <w:bCs/>
              </w:rPr>
            </w:pPr>
            <w:r w:rsidRPr="00D20DEA">
              <w:rPr>
                <w:rFonts w:eastAsia="PMingLiU"/>
                <w:bCs/>
              </w:rPr>
              <w:t>MHz</w:t>
            </w:r>
            <w:r w:rsidRPr="00D20DEA">
              <w:rPr>
                <w:rFonts w:eastAsia="PMingLiU"/>
                <w:bCs/>
              </w:rPr>
              <w:br/>
              <w:t>(dBm)</w:t>
            </w:r>
          </w:p>
        </w:tc>
        <w:tc>
          <w:tcPr>
            <w:tcW w:w="847" w:type="dxa"/>
            <w:shd w:val="clear" w:color="auto" w:fill="auto"/>
            <w:vAlign w:val="center"/>
          </w:tcPr>
          <w:p w14:paraId="7B8EC0CF" w14:textId="77777777" w:rsidR="00931048" w:rsidRPr="00D20DEA" w:rsidRDefault="00931048" w:rsidP="00E92628">
            <w:pPr>
              <w:pStyle w:val="TAH"/>
              <w:rPr>
                <w:rFonts w:eastAsia="PMingLiU"/>
                <w:bCs/>
              </w:rPr>
            </w:pPr>
            <w:r w:rsidRPr="00D20DEA">
              <w:rPr>
                <w:rFonts w:eastAsia="PMingLiU"/>
                <w:bCs/>
              </w:rPr>
              <w:t>20</w:t>
            </w:r>
          </w:p>
          <w:p w14:paraId="2E87B059" w14:textId="77777777" w:rsidR="00931048" w:rsidRPr="00D20DEA" w:rsidRDefault="00931048" w:rsidP="00E92628">
            <w:pPr>
              <w:pStyle w:val="TAH"/>
              <w:rPr>
                <w:rFonts w:eastAsia="PMingLiU"/>
                <w:bCs/>
              </w:rPr>
            </w:pPr>
            <w:r w:rsidRPr="00D20DEA">
              <w:rPr>
                <w:rFonts w:eastAsia="PMingLiU"/>
                <w:bCs/>
              </w:rPr>
              <w:t>MHz</w:t>
            </w:r>
            <w:r w:rsidRPr="00D20DEA">
              <w:rPr>
                <w:rFonts w:eastAsia="PMingLiU"/>
                <w:bCs/>
              </w:rPr>
              <w:br/>
              <w:t>(dBm)</w:t>
            </w:r>
          </w:p>
        </w:tc>
        <w:tc>
          <w:tcPr>
            <w:tcW w:w="847" w:type="dxa"/>
            <w:shd w:val="clear" w:color="auto" w:fill="auto"/>
            <w:vAlign w:val="center"/>
          </w:tcPr>
          <w:p w14:paraId="26851695" w14:textId="77777777" w:rsidR="00931048" w:rsidRPr="00D20DEA" w:rsidRDefault="00931048" w:rsidP="00E92628">
            <w:pPr>
              <w:pStyle w:val="TAH"/>
              <w:rPr>
                <w:rFonts w:eastAsia="PMingLiU"/>
                <w:bCs/>
              </w:rPr>
            </w:pPr>
            <w:r w:rsidRPr="00D20DEA">
              <w:rPr>
                <w:rFonts w:eastAsia="PMingLiU"/>
                <w:bCs/>
              </w:rPr>
              <w:t>25</w:t>
            </w:r>
          </w:p>
          <w:p w14:paraId="5AC01A35" w14:textId="77777777" w:rsidR="00931048" w:rsidRPr="00D20DEA" w:rsidRDefault="00931048" w:rsidP="00E92628">
            <w:pPr>
              <w:pStyle w:val="TAH"/>
              <w:rPr>
                <w:rFonts w:eastAsia="PMingLiU"/>
                <w:bCs/>
              </w:rPr>
            </w:pPr>
            <w:r w:rsidRPr="00D20DEA">
              <w:rPr>
                <w:rFonts w:eastAsia="PMingLiU"/>
                <w:bCs/>
              </w:rPr>
              <w:t>MHz</w:t>
            </w:r>
            <w:r w:rsidRPr="00D20DEA">
              <w:rPr>
                <w:rFonts w:eastAsia="PMingLiU"/>
                <w:bCs/>
              </w:rPr>
              <w:br/>
              <w:t>(dBm)</w:t>
            </w:r>
          </w:p>
        </w:tc>
        <w:tc>
          <w:tcPr>
            <w:tcW w:w="831" w:type="dxa"/>
            <w:vAlign w:val="center"/>
          </w:tcPr>
          <w:p w14:paraId="16BA596B" w14:textId="77777777" w:rsidR="00931048" w:rsidRPr="00D20DEA" w:rsidRDefault="00931048" w:rsidP="00E92628">
            <w:pPr>
              <w:pStyle w:val="TAH"/>
              <w:rPr>
                <w:rFonts w:eastAsia="PMingLiU"/>
                <w:bCs/>
              </w:rPr>
            </w:pPr>
            <w:r w:rsidRPr="00D20DEA">
              <w:rPr>
                <w:rFonts w:eastAsia="PMingLiU"/>
                <w:bCs/>
              </w:rPr>
              <w:t>30 MHz (dBm)</w:t>
            </w:r>
          </w:p>
        </w:tc>
        <w:tc>
          <w:tcPr>
            <w:tcW w:w="808" w:type="dxa"/>
            <w:vAlign w:val="center"/>
          </w:tcPr>
          <w:p w14:paraId="06052282" w14:textId="77777777" w:rsidR="00931048" w:rsidRPr="00D20DEA" w:rsidRDefault="00931048" w:rsidP="00E92628">
            <w:pPr>
              <w:pStyle w:val="TAH"/>
              <w:rPr>
                <w:rFonts w:eastAsia="PMingLiU"/>
                <w:bCs/>
              </w:rPr>
            </w:pPr>
            <w:r w:rsidRPr="00D20DEA">
              <w:rPr>
                <w:rFonts w:eastAsia="PMingLiU"/>
                <w:bCs/>
              </w:rPr>
              <w:t>35 MHz (dBm)</w:t>
            </w:r>
          </w:p>
        </w:tc>
      </w:tr>
      <w:tr w:rsidR="00931048" w:rsidRPr="00D20DEA" w14:paraId="057F5DDF" w14:textId="77777777" w:rsidTr="00963D79">
        <w:trPr>
          <w:gridAfter w:val="1"/>
          <w:wAfter w:w="8" w:type="dxa"/>
          <w:trHeight w:val="187"/>
          <w:jc w:val="center"/>
        </w:trPr>
        <w:tc>
          <w:tcPr>
            <w:tcW w:w="1129" w:type="dxa"/>
            <w:vMerge w:val="restart"/>
            <w:shd w:val="clear" w:color="auto" w:fill="auto"/>
            <w:vAlign w:val="center"/>
          </w:tcPr>
          <w:p w14:paraId="210199B8" w14:textId="77777777" w:rsidR="00931048" w:rsidRPr="00801C68" w:rsidRDefault="00931048" w:rsidP="00E92628">
            <w:pPr>
              <w:pStyle w:val="TAC"/>
              <w:rPr>
                <w:rFonts w:eastAsia="PMingLiU"/>
              </w:rPr>
            </w:pPr>
            <w:r w:rsidRPr="00801C68">
              <w:rPr>
                <w:rFonts w:eastAsia="PMingLiU"/>
              </w:rPr>
              <w:t>n105</w:t>
            </w:r>
          </w:p>
        </w:tc>
        <w:tc>
          <w:tcPr>
            <w:tcW w:w="615" w:type="dxa"/>
            <w:tcBorders>
              <w:top w:val="single" w:sz="4" w:space="0" w:color="auto"/>
              <w:left w:val="single" w:sz="4" w:space="0" w:color="auto"/>
              <w:bottom w:val="single" w:sz="4" w:space="0" w:color="auto"/>
              <w:right w:val="single" w:sz="4" w:space="0" w:color="auto"/>
            </w:tcBorders>
          </w:tcPr>
          <w:p w14:paraId="5572D8C5" w14:textId="77777777" w:rsidR="00931048" w:rsidRPr="00801C68" w:rsidRDefault="00931048" w:rsidP="00E92628">
            <w:pPr>
              <w:pStyle w:val="TAC"/>
              <w:rPr>
                <w:rFonts w:eastAsia="PMingLiU"/>
              </w:rPr>
            </w:pPr>
            <w:r w:rsidRPr="00801C68">
              <w:rPr>
                <w:rFonts w:eastAsia="PMingLiU"/>
              </w:rPr>
              <w:t>15</w:t>
            </w:r>
          </w:p>
        </w:tc>
        <w:tc>
          <w:tcPr>
            <w:tcW w:w="807" w:type="dxa"/>
            <w:tcBorders>
              <w:top w:val="single" w:sz="4" w:space="0" w:color="auto"/>
              <w:left w:val="single" w:sz="4" w:space="0" w:color="auto"/>
              <w:bottom w:val="single" w:sz="4" w:space="0" w:color="auto"/>
              <w:right w:val="single" w:sz="4" w:space="0" w:color="auto"/>
            </w:tcBorders>
          </w:tcPr>
          <w:p w14:paraId="31F2EEDC" w14:textId="77777777" w:rsidR="00931048" w:rsidRPr="00801C68" w:rsidRDefault="00931048" w:rsidP="00E92628">
            <w:pPr>
              <w:pStyle w:val="TAC"/>
              <w:rPr>
                <w:rFonts w:eastAsia="PMingLiU"/>
              </w:rPr>
            </w:pPr>
            <w:r w:rsidRPr="00801C68">
              <w:rPr>
                <w:rFonts w:eastAsia="PMingLiU"/>
              </w:rPr>
              <w:t>-97.2</w:t>
            </w:r>
            <w:r w:rsidRPr="00801C68">
              <w:rPr>
                <w:rFonts w:eastAsia="PMingLiU"/>
                <w:vertAlign w:val="superscript"/>
              </w:rPr>
              <w:t>X</w:t>
            </w:r>
          </w:p>
        </w:tc>
        <w:tc>
          <w:tcPr>
            <w:tcW w:w="754" w:type="dxa"/>
            <w:tcBorders>
              <w:top w:val="single" w:sz="4" w:space="0" w:color="auto"/>
              <w:left w:val="single" w:sz="4" w:space="0" w:color="auto"/>
              <w:bottom w:val="single" w:sz="4" w:space="0" w:color="auto"/>
              <w:right w:val="single" w:sz="4" w:space="0" w:color="auto"/>
            </w:tcBorders>
          </w:tcPr>
          <w:p w14:paraId="4FC239F9" w14:textId="77777777" w:rsidR="00931048" w:rsidRPr="00801C68" w:rsidRDefault="00931048" w:rsidP="00E92628">
            <w:pPr>
              <w:pStyle w:val="TAC"/>
              <w:rPr>
                <w:rFonts w:eastAsia="PMingLiU"/>
              </w:rPr>
            </w:pPr>
            <w:r w:rsidRPr="00801C68">
              <w:rPr>
                <w:rFonts w:eastAsia="PMingLiU"/>
              </w:rPr>
              <w:t>-94.0</w:t>
            </w:r>
            <w:r w:rsidRPr="00801C68">
              <w:rPr>
                <w:rFonts w:eastAsia="PMingLiU"/>
                <w:vertAlign w:val="superscript"/>
              </w:rPr>
              <w:t>x</w:t>
            </w:r>
          </w:p>
        </w:tc>
        <w:tc>
          <w:tcPr>
            <w:tcW w:w="887" w:type="dxa"/>
            <w:tcBorders>
              <w:top w:val="single" w:sz="4" w:space="0" w:color="auto"/>
              <w:left w:val="single" w:sz="4" w:space="0" w:color="auto"/>
              <w:bottom w:val="single" w:sz="4" w:space="0" w:color="auto"/>
              <w:right w:val="single" w:sz="4" w:space="0" w:color="auto"/>
            </w:tcBorders>
          </w:tcPr>
          <w:p w14:paraId="6936ED4E" w14:textId="4ACA9DFC" w:rsidR="00931048" w:rsidRPr="00801C68" w:rsidRDefault="00963D79" w:rsidP="00E92628">
            <w:pPr>
              <w:pStyle w:val="TAC"/>
              <w:rPr>
                <w:rFonts w:eastAsia="PMingLiU"/>
              </w:rPr>
            </w:pPr>
            <w:r>
              <w:rPr>
                <w:rFonts w:eastAsia="PMingLiU"/>
              </w:rPr>
              <w:t>[</w:t>
            </w:r>
            <w:r w:rsidR="00931048" w:rsidRPr="00801C68">
              <w:rPr>
                <w:rFonts w:eastAsia="PMingLiU"/>
              </w:rPr>
              <w:t>-91.9</w:t>
            </w:r>
            <w:r>
              <w:rPr>
                <w:rFonts w:eastAsia="PMingLiU"/>
              </w:rPr>
              <w:t>]</w:t>
            </w:r>
            <w:r w:rsidR="00931048" w:rsidRPr="00801C68">
              <w:rPr>
                <w:rFonts w:eastAsia="PMingLiU"/>
                <w:vertAlign w:val="superscript"/>
              </w:rPr>
              <w:t>x</w:t>
            </w:r>
          </w:p>
        </w:tc>
        <w:tc>
          <w:tcPr>
            <w:tcW w:w="847" w:type="dxa"/>
            <w:tcBorders>
              <w:top w:val="single" w:sz="4" w:space="0" w:color="auto"/>
              <w:left w:val="single" w:sz="4" w:space="0" w:color="auto"/>
              <w:bottom w:val="single" w:sz="4" w:space="0" w:color="auto"/>
              <w:right w:val="single" w:sz="4" w:space="0" w:color="auto"/>
            </w:tcBorders>
          </w:tcPr>
          <w:p w14:paraId="7B3AC018" w14:textId="77777777" w:rsidR="00931048" w:rsidRPr="00801C68" w:rsidRDefault="00931048" w:rsidP="00E92628">
            <w:pPr>
              <w:pStyle w:val="TAC"/>
              <w:rPr>
                <w:rFonts w:eastAsia="PMingLiU"/>
              </w:rPr>
            </w:pPr>
            <w:r w:rsidRPr="00801C68">
              <w:rPr>
                <w:rFonts w:eastAsia="PMingLiU"/>
              </w:rPr>
              <w:t>[-89.1]</w:t>
            </w:r>
          </w:p>
        </w:tc>
        <w:tc>
          <w:tcPr>
            <w:tcW w:w="847" w:type="dxa"/>
            <w:tcBorders>
              <w:top w:val="single" w:sz="4" w:space="0" w:color="auto"/>
              <w:left w:val="single" w:sz="4" w:space="0" w:color="auto"/>
              <w:bottom w:val="single" w:sz="4" w:space="0" w:color="auto"/>
              <w:right w:val="single" w:sz="4" w:space="0" w:color="auto"/>
            </w:tcBorders>
          </w:tcPr>
          <w:p w14:paraId="17E8551A" w14:textId="77777777" w:rsidR="00931048" w:rsidRPr="00801C68" w:rsidRDefault="00931048" w:rsidP="00E92628">
            <w:pPr>
              <w:pStyle w:val="TAC"/>
              <w:rPr>
                <w:rFonts w:eastAsia="PMingLiU"/>
              </w:rPr>
            </w:pPr>
            <w:r w:rsidRPr="00801C68">
              <w:rPr>
                <w:rFonts w:eastAsia="PMingLiU"/>
              </w:rPr>
              <w:t>[-87.3]</w:t>
            </w:r>
          </w:p>
        </w:tc>
        <w:tc>
          <w:tcPr>
            <w:tcW w:w="831" w:type="dxa"/>
            <w:tcBorders>
              <w:top w:val="single" w:sz="4" w:space="0" w:color="auto"/>
              <w:left w:val="single" w:sz="4" w:space="0" w:color="auto"/>
              <w:bottom w:val="single" w:sz="4" w:space="0" w:color="auto"/>
              <w:right w:val="single" w:sz="4" w:space="0" w:color="auto"/>
            </w:tcBorders>
          </w:tcPr>
          <w:p w14:paraId="47158E00" w14:textId="77777777" w:rsidR="00931048" w:rsidRPr="00801C68" w:rsidRDefault="00931048" w:rsidP="00E92628">
            <w:pPr>
              <w:pStyle w:val="TAC"/>
              <w:rPr>
                <w:rFonts w:eastAsia="PMingLiU"/>
              </w:rPr>
            </w:pPr>
            <w:r w:rsidRPr="00801C68">
              <w:rPr>
                <w:rFonts w:eastAsia="PMingLiU"/>
              </w:rPr>
              <w:t>[-85.3]</w:t>
            </w:r>
          </w:p>
        </w:tc>
        <w:tc>
          <w:tcPr>
            <w:tcW w:w="808" w:type="dxa"/>
            <w:tcBorders>
              <w:top w:val="single" w:sz="4" w:space="0" w:color="auto"/>
              <w:left w:val="single" w:sz="4" w:space="0" w:color="auto"/>
              <w:bottom w:val="single" w:sz="4" w:space="0" w:color="auto"/>
              <w:right w:val="single" w:sz="4" w:space="0" w:color="auto"/>
            </w:tcBorders>
          </w:tcPr>
          <w:p w14:paraId="20F581C0" w14:textId="77777777" w:rsidR="00931048" w:rsidRPr="00801C68" w:rsidRDefault="00931048" w:rsidP="00E92628">
            <w:pPr>
              <w:pStyle w:val="TAC"/>
              <w:rPr>
                <w:rFonts w:eastAsia="PMingLiU"/>
              </w:rPr>
            </w:pPr>
            <w:r w:rsidRPr="00801C68">
              <w:rPr>
                <w:rFonts w:eastAsia="PMingLiU"/>
              </w:rPr>
              <w:t>[-83.6]</w:t>
            </w:r>
          </w:p>
        </w:tc>
      </w:tr>
      <w:tr w:rsidR="00931048" w:rsidRPr="00D20DEA" w14:paraId="4BC50690" w14:textId="77777777" w:rsidTr="00963D79">
        <w:trPr>
          <w:gridAfter w:val="1"/>
          <w:wAfter w:w="8" w:type="dxa"/>
          <w:trHeight w:val="187"/>
          <w:jc w:val="center"/>
        </w:trPr>
        <w:tc>
          <w:tcPr>
            <w:tcW w:w="1129" w:type="dxa"/>
            <w:vMerge/>
            <w:shd w:val="clear" w:color="auto" w:fill="auto"/>
            <w:vAlign w:val="center"/>
          </w:tcPr>
          <w:p w14:paraId="0240F38E" w14:textId="77777777" w:rsidR="00931048" w:rsidRPr="00801C68" w:rsidRDefault="00931048" w:rsidP="00E92628">
            <w:pPr>
              <w:pStyle w:val="TAC"/>
              <w:rPr>
                <w:rFonts w:eastAsia="PMingLiU"/>
              </w:rPr>
            </w:pPr>
          </w:p>
        </w:tc>
        <w:tc>
          <w:tcPr>
            <w:tcW w:w="615" w:type="dxa"/>
            <w:tcBorders>
              <w:top w:val="single" w:sz="4" w:space="0" w:color="auto"/>
              <w:left w:val="single" w:sz="4" w:space="0" w:color="auto"/>
              <w:bottom w:val="single" w:sz="4" w:space="0" w:color="auto"/>
              <w:right w:val="single" w:sz="4" w:space="0" w:color="auto"/>
            </w:tcBorders>
          </w:tcPr>
          <w:p w14:paraId="10CC4344" w14:textId="77777777" w:rsidR="00931048" w:rsidRPr="00801C68" w:rsidRDefault="00931048" w:rsidP="00E92628">
            <w:pPr>
              <w:pStyle w:val="TAC"/>
              <w:rPr>
                <w:rFonts w:eastAsia="PMingLiU"/>
              </w:rPr>
            </w:pPr>
            <w:r w:rsidRPr="00801C68">
              <w:rPr>
                <w:rFonts w:eastAsia="PMingLiU"/>
              </w:rPr>
              <w:t>30</w:t>
            </w:r>
          </w:p>
        </w:tc>
        <w:tc>
          <w:tcPr>
            <w:tcW w:w="807" w:type="dxa"/>
            <w:tcBorders>
              <w:top w:val="single" w:sz="4" w:space="0" w:color="auto"/>
              <w:left w:val="single" w:sz="4" w:space="0" w:color="auto"/>
              <w:bottom w:val="single" w:sz="4" w:space="0" w:color="auto"/>
              <w:right w:val="single" w:sz="4" w:space="0" w:color="auto"/>
            </w:tcBorders>
          </w:tcPr>
          <w:p w14:paraId="073D2F6C" w14:textId="77777777" w:rsidR="00931048" w:rsidRPr="00801C68" w:rsidRDefault="00931048" w:rsidP="00E92628">
            <w:pPr>
              <w:pStyle w:val="TAC"/>
              <w:rPr>
                <w:rFonts w:eastAsia="PMingLiU"/>
              </w:rPr>
            </w:pPr>
          </w:p>
        </w:tc>
        <w:tc>
          <w:tcPr>
            <w:tcW w:w="754" w:type="dxa"/>
            <w:tcBorders>
              <w:top w:val="single" w:sz="4" w:space="0" w:color="auto"/>
              <w:left w:val="single" w:sz="4" w:space="0" w:color="auto"/>
              <w:bottom w:val="single" w:sz="4" w:space="0" w:color="auto"/>
              <w:right w:val="single" w:sz="4" w:space="0" w:color="auto"/>
            </w:tcBorders>
          </w:tcPr>
          <w:p w14:paraId="5150F0B0" w14:textId="77777777" w:rsidR="00931048" w:rsidRPr="00801C68" w:rsidRDefault="00931048" w:rsidP="00E92628">
            <w:pPr>
              <w:pStyle w:val="TAC"/>
              <w:rPr>
                <w:rFonts w:eastAsia="PMingLiU"/>
              </w:rPr>
            </w:pPr>
            <w:r w:rsidRPr="00801C68">
              <w:rPr>
                <w:rFonts w:eastAsia="PMingLiU"/>
              </w:rPr>
              <w:t>-94.3</w:t>
            </w:r>
            <w:r w:rsidRPr="00801C68">
              <w:rPr>
                <w:rFonts w:eastAsia="PMingLiU"/>
                <w:vertAlign w:val="superscript"/>
              </w:rPr>
              <w:t>x</w:t>
            </w:r>
          </w:p>
        </w:tc>
        <w:tc>
          <w:tcPr>
            <w:tcW w:w="887" w:type="dxa"/>
            <w:tcBorders>
              <w:top w:val="single" w:sz="4" w:space="0" w:color="auto"/>
              <w:left w:val="single" w:sz="4" w:space="0" w:color="auto"/>
              <w:bottom w:val="single" w:sz="4" w:space="0" w:color="auto"/>
              <w:right w:val="single" w:sz="4" w:space="0" w:color="auto"/>
            </w:tcBorders>
          </w:tcPr>
          <w:p w14:paraId="292E8175" w14:textId="6F864FC2" w:rsidR="00931048" w:rsidRPr="00801C68" w:rsidRDefault="00963D79" w:rsidP="00E92628">
            <w:pPr>
              <w:pStyle w:val="TAC"/>
              <w:rPr>
                <w:rFonts w:eastAsia="PMingLiU"/>
              </w:rPr>
            </w:pPr>
            <w:r>
              <w:rPr>
                <w:rFonts w:eastAsia="PMingLiU"/>
              </w:rPr>
              <w:t>[</w:t>
            </w:r>
            <w:r w:rsidR="00931048" w:rsidRPr="00801C68">
              <w:rPr>
                <w:rFonts w:eastAsia="PMingLiU"/>
              </w:rPr>
              <w:t>-92.0</w:t>
            </w:r>
            <w:r>
              <w:rPr>
                <w:rFonts w:eastAsia="PMingLiU"/>
              </w:rPr>
              <w:t>]</w:t>
            </w:r>
            <w:r w:rsidR="00931048" w:rsidRPr="00801C68">
              <w:rPr>
                <w:rFonts w:eastAsia="PMingLiU"/>
                <w:vertAlign w:val="superscript"/>
              </w:rPr>
              <w:t>x</w:t>
            </w:r>
          </w:p>
        </w:tc>
        <w:tc>
          <w:tcPr>
            <w:tcW w:w="847" w:type="dxa"/>
            <w:tcBorders>
              <w:top w:val="single" w:sz="4" w:space="0" w:color="auto"/>
              <w:left w:val="single" w:sz="4" w:space="0" w:color="auto"/>
              <w:bottom w:val="single" w:sz="4" w:space="0" w:color="auto"/>
              <w:right w:val="single" w:sz="4" w:space="0" w:color="auto"/>
            </w:tcBorders>
          </w:tcPr>
          <w:p w14:paraId="78292018" w14:textId="77777777" w:rsidR="00931048" w:rsidRPr="00801C68" w:rsidRDefault="00931048" w:rsidP="00E92628">
            <w:pPr>
              <w:pStyle w:val="TAC"/>
              <w:rPr>
                <w:rFonts w:eastAsia="PMingLiU"/>
              </w:rPr>
            </w:pPr>
            <w:r w:rsidRPr="00801C68">
              <w:rPr>
                <w:rFonts w:eastAsia="PMingLiU"/>
              </w:rPr>
              <w:t>[-83.0]</w:t>
            </w:r>
          </w:p>
        </w:tc>
        <w:tc>
          <w:tcPr>
            <w:tcW w:w="847" w:type="dxa"/>
            <w:tcBorders>
              <w:top w:val="single" w:sz="4" w:space="0" w:color="auto"/>
              <w:left w:val="single" w:sz="4" w:space="0" w:color="auto"/>
              <w:bottom w:val="single" w:sz="4" w:space="0" w:color="auto"/>
              <w:right w:val="single" w:sz="4" w:space="0" w:color="auto"/>
            </w:tcBorders>
          </w:tcPr>
          <w:p w14:paraId="5CC13A91" w14:textId="77777777" w:rsidR="00931048" w:rsidRPr="00801C68" w:rsidRDefault="00931048" w:rsidP="00E92628">
            <w:pPr>
              <w:pStyle w:val="TAC"/>
              <w:rPr>
                <w:rFonts w:eastAsia="PMingLiU"/>
              </w:rPr>
            </w:pPr>
            <w:r w:rsidRPr="00801C68">
              <w:rPr>
                <w:rFonts w:eastAsia="PMingLiU"/>
              </w:rPr>
              <w:t>[-88.2]</w:t>
            </w:r>
          </w:p>
        </w:tc>
        <w:tc>
          <w:tcPr>
            <w:tcW w:w="831" w:type="dxa"/>
            <w:tcBorders>
              <w:top w:val="single" w:sz="4" w:space="0" w:color="auto"/>
              <w:left w:val="single" w:sz="4" w:space="0" w:color="auto"/>
              <w:bottom w:val="single" w:sz="4" w:space="0" w:color="auto"/>
              <w:right w:val="single" w:sz="4" w:space="0" w:color="auto"/>
            </w:tcBorders>
          </w:tcPr>
          <w:p w14:paraId="7BF0C4A2" w14:textId="77777777" w:rsidR="00931048" w:rsidRPr="00801C68" w:rsidRDefault="00931048" w:rsidP="00E92628">
            <w:pPr>
              <w:pStyle w:val="TAC"/>
              <w:rPr>
                <w:rFonts w:eastAsia="PMingLiU"/>
              </w:rPr>
            </w:pPr>
            <w:r w:rsidRPr="00801C68">
              <w:rPr>
                <w:rFonts w:eastAsia="PMingLiU"/>
              </w:rPr>
              <w:t>[-86.5]</w:t>
            </w:r>
          </w:p>
        </w:tc>
        <w:tc>
          <w:tcPr>
            <w:tcW w:w="808" w:type="dxa"/>
            <w:tcBorders>
              <w:top w:val="single" w:sz="4" w:space="0" w:color="auto"/>
              <w:left w:val="single" w:sz="4" w:space="0" w:color="auto"/>
              <w:bottom w:val="single" w:sz="4" w:space="0" w:color="auto"/>
              <w:right w:val="single" w:sz="4" w:space="0" w:color="auto"/>
            </w:tcBorders>
          </w:tcPr>
          <w:p w14:paraId="5EB473A2" w14:textId="77777777" w:rsidR="00931048" w:rsidRPr="00801C68" w:rsidRDefault="00931048" w:rsidP="00E92628">
            <w:pPr>
              <w:pStyle w:val="TAC"/>
              <w:rPr>
                <w:rFonts w:eastAsia="PMingLiU"/>
              </w:rPr>
            </w:pPr>
            <w:r w:rsidRPr="00801C68">
              <w:rPr>
                <w:rFonts w:eastAsia="PMingLiU"/>
              </w:rPr>
              <w:t>[-83.7]</w:t>
            </w:r>
          </w:p>
        </w:tc>
      </w:tr>
      <w:tr w:rsidR="00931048" w:rsidRPr="00D20DEA" w14:paraId="7DDD8ECC" w14:textId="77777777" w:rsidTr="00963D79">
        <w:trPr>
          <w:trHeight w:val="187"/>
          <w:jc w:val="center"/>
        </w:trPr>
        <w:tc>
          <w:tcPr>
            <w:tcW w:w="7533" w:type="dxa"/>
            <w:gridSpan w:val="10"/>
            <w:tcBorders>
              <w:right w:val="single" w:sz="4" w:space="0" w:color="auto"/>
            </w:tcBorders>
            <w:shd w:val="clear" w:color="auto" w:fill="auto"/>
            <w:vAlign w:val="center"/>
          </w:tcPr>
          <w:p w14:paraId="60998DB0" w14:textId="29AC01B4" w:rsidR="00931048" w:rsidRPr="00801C68" w:rsidRDefault="00931048" w:rsidP="00E92628">
            <w:pPr>
              <w:pStyle w:val="TAN"/>
            </w:pPr>
            <w:r w:rsidRPr="00801C68">
              <w:t>Note X:</w:t>
            </w:r>
            <w:r w:rsidRPr="00801C68">
              <w:tab/>
              <w:t xml:space="preserve">Channels overlapping the 612-617MHz range are allowed </w:t>
            </w:r>
            <w:r w:rsidR="00293BD2">
              <w:t xml:space="preserve">a </w:t>
            </w:r>
            <w:r w:rsidRPr="00801C68">
              <w:t>0.5 dB REFSENS degradation</w:t>
            </w:r>
          </w:p>
        </w:tc>
      </w:tr>
    </w:tbl>
    <w:p w14:paraId="77E7AEB1" w14:textId="7E75183A" w:rsidR="00931048" w:rsidRDefault="00931048" w:rsidP="00494D5C">
      <w:pPr>
        <w:pStyle w:val="Caption"/>
        <w:keepNext/>
        <w:jc w:val="center"/>
      </w:pPr>
      <w:r>
        <w:t xml:space="preserve">Table </w:t>
      </w:r>
      <w:r w:rsidR="0083541E">
        <w:fldChar w:fldCharType="begin"/>
      </w:r>
      <w:r w:rsidR="0083541E">
        <w:instrText xml:space="preserve"> SEQ Table \* ARABIC </w:instrText>
      </w:r>
      <w:r w:rsidR="0083541E">
        <w:fldChar w:fldCharType="separate"/>
      </w:r>
      <w:r>
        <w:rPr>
          <w:noProof/>
        </w:rPr>
        <w:t>4</w:t>
      </w:r>
      <w:r w:rsidR="0083541E">
        <w:rPr>
          <w:noProof/>
        </w:rPr>
        <w:fldChar w:fldCharType="end"/>
      </w:r>
      <w:r w:rsidR="00494D5C">
        <w:t>:</w:t>
      </w:r>
      <w:r w:rsidR="00494D5C" w:rsidRPr="00494D5C">
        <w:rPr>
          <w:bCs/>
        </w:rPr>
        <w:t xml:space="preserve"> </w:t>
      </w:r>
      <w:r w:rsidR="00494D5C" w:rsidRPr="00D20DEA">
        <w:rPr>
          <w:bCs/>
        </w:rPr>
        <w:t xml:space="preserve">UL configuration for </w:t>
      </w:r>
      <w:r w:rsidR="00494D5C">
        <w:rPr>
          <w:bCs/>
        </w:rPr>
        <w:t xml:space="preserve">n105 </w:t>
      </w:r>
      <w:r w:rsidR="00494D5C" w:rsidRPr="00D20DEA">
        <w:rPr>
          <w:bCs/>
        </w:rPr>
        <w:t>REFSENS</w:t>
      </w:r>
    </w:p>
    <w:tbl>
      <w:tblPr>
        <w:tblW w:w="35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0"/>
        <w:gridCol w:w="589"/>
        <w:gridCol w:w="494"/>
        <w:gridCol w:w="506"/>
        <w:gridCol w:w="584"/>
        <w:gridCol w:w="483"/>
        <w:gridCol w:w="805"/>
        <w:gridCol w:w="894"/>
        <w:gridCol w:w="808"/>
        <w:gridCol w:w="1258"/>
      </w:tblGrid>
      <w:tr w:rsidR="00931048" w:rsidRPr="00D20DEA" w14:paraId="0CAE1D53" w14:textId="77777777" w:rsidTr="00E92628">
        <w:trPr>
          <w:trHeight w:val="187"/>
          <w:tblHeader/>
          <w:jc w:val="center"/>
        </w:trPr>
        <w:tc>
          <w:tcPr>
            <w:tcW w:w="5000" w:type="pct"/>
            <w:gridSpan w:val="10"/>
            <w:tcBorders>
              <w:top w:val="single" w:sz="4" w:space="0" w:color="auto"/>
              <w:left w:val="single" w:sz="4" w:space="0" w:color="auto"/>
              <w:bottom w:val="single" w:sz="4" w:space="0" w:color="auto"/>
              <w:right w:val="single" w:sz="4" w:space="0" w:color="auto"/>
            </w:tcBorders>
          </w:tcPr>
          <w:p w14:paraId="46C8493A" w14:textId="77777777" w:rsidR="00931048" w:rsidRPr="00D20DEA" w:rsidRDefault="00931048" w:rsidP="00E92628">
            <w:pPr>
              <w:pStyle w:val="TAH"/>
              <w:rPr>
                <w:bCs/>
              </w:rPr>
            </w:pPr>
            <w:r w:rsidRPr="00D20DEA">
              <w:rPr>
                <w:bCs/>
              </w:rPr>
              <w:t>Operating band / SCS (kHz) / Channel bandwidth (MHz) / Duplex mode</w:t>
            </w:r>
          </w:p>
        </w:tc>
      </w:tr>
      <w:tr w:rsidR="00931048" w:rsidRPr="00D20DEA" w14:paraId="7C2D7976" w14:textId="77777777" w:rsidTr="00E92628">
        <w:trPr>
          <w:trHeight w:val="187"/>
          <w:tblHeader/>
          <w:jc w:val="center"/>
        </w:trPr>
        <w:tc>
          <w:tcPr>
            <w:tcW w:w="714" w:type="pct"/>
            <w:tcBorders>
              <w:bottom w:val="single" w:sz="4" w:space="0" w:color="auto"/>
            </w:tcBorders>
            <w:shd w:val="clear" w:color="auto" w:fill="auto"/>
          </w:tcPr>
          <w:p w14:paraId="0EA7B82C" w14:textId="77777777" w:rsidR="00931048" w:rsidRPr="00D20DEA" w:rsidRDefault="00931048" w:rsidP="00E92628">
            <w:pPr>
              <w:pStyle w:val="TAH"/>
              <w:rPr>
                <w:bCs/>
              </w:rPr>
            </w:pPr>
            <w:r w:rsidRPr="00D20DEA">
              <w:rPr>
                <w:bCs/>
              </w:rPr>
              <w:t>Operating Band</w:t>
            </w:r>
          </w:p>
        </w:tc>
        <w:tc>
          <w:tcPr>
            <w:tcW w:w="393" w:type="pct"/>
            <w:vAlign w:val="center"/>
          </w:tcPr>
          <w:p w14:paraId="53511A3E" w14:textId="77777777" w:rsidR="00931048" w:rsidRPr="00D20DEA" w:rsidRDefault="00931048" w:rsidP="00E92628">
            <w:pPr>
              <w:pStyle w:val="TAH"/>
              <w:rPr>
                <w:bCs/>
              </w:rPr>
            </w:pPr>
            <w:r w:rsidRPr="00D20DEA">
              <w:rPr>
                <w:bCs/>
              </w:rPr>
              <w:t>SCS</w:t>
            </w:r>
          </w:p>
        </w:tc>
        <w:tc>
          <w:tcPr>
            <w:tcW w:w="330" w:type="pct"/>
            <w:shd w:val="clear" w:color="auto" w:fill="auto"/>
            <w:vAlign w:val="center"/>
          </w:tcPr>
          <w:p w14:paraId="6968A772" w14:textId="77777777" w:rsidR="00931048" w:rsidRPr="00D20DEA" w:rsidRDefault="00931048" w:rsidP="00E92628">
            <w:pPr>
              <w:pStyle w:val="TAH"/>
              <w:rPr>
                <w:bCs/>
              </w:rPr>
            </w:pPr>
            <w:r w:rsidRPr="00D20DEA">
              <w:rPr>
                <w:bCs/>
              </w:rPr>
              <w:t>5</w:t>
            </w:r>
          </w:p>
        </w:tc>
        <w:tc>
          <w:tcPr>
            <w:tcW w:w="338" w:type="pct"/>
            <w:shd w:val="clear" w:color="auto" w:fill="auto"/>
            <w:vAlign w:val="center"/>
          </w:tcPr>
          <w:p w14:paraId="6EECA1F8" w14:textId="77777777" w:rsidR="00931048" w:rsidRPr="00D20DEA" w:rsidRDefault="00931048" w:rsidP="00E92628">
            <w:pPr>
              <w:pStyle w:val="TAH"/>
              <w:rPr>
                <w:bCs/>
              </w:rPr>
            </w:pPr>
            <w:r w:rsidRPr="00D20DEA">
              <w:rPr>
                <w:bCs/>
              </w:rPr>
              <w:t>10</w:t>
            </w:r>
          </w:p>
        </w:tc>
        <w:tc>
          <w:tcPr>
            <w:tcW w:w="390" w:type="pct"/>
            <w:shd w:val="clear" w:color="auto" w:fill="auto"/>
            <w:vAlign w:val="center"/>
          </w:tcPr>
          <w:p w14:paraId="070E93F8" w14:textId="77777777" w:rsidR="00931048" w:rsidRPr="00D20DEA" w:rsidRDefault="00931048" w:rsidP="00E92628">
            <w:pPr>
              <w:pStyle w:val="TAH"/>
              <w:rPr>
                <w:bCs/>
              </w:rPr>
            </w:pPr>
            <w:r w:rsidRPr="00D20DEA">
              <w:rPr>
                <w:bCs/>
              </w:rPr>
              <w:t>15</w:t>
            </w:r>
          </w:p>
        </w:tc>
        <w:tc>
          <w:tcPr>
            <w:tcW w:w="322" w:type="pct"/>
            <w:shd w:val="clear" w:color="auto" w:fill="auto"/>
            <w:vAlign w:val="center"/>
          </w:tcPr>
          <w:p w14:paraId="554F41B9" w14:textId="77777777" w:rsidR="00931048" w:rsidRPr="00D20DEA" w:rsidRDefault="00931048" w:rsidP="00E92628">
            <w:pPr>
              <w:pStyle w:val="TAH"/>
              <w:rPr>
                <w:bCs/>
              </w:rPr>
            </w:pPr>
            <w:r w:rsidRPr="00D20DEA">
              <w:rPr>
                <w:bCs/>
              </w:rPr>
              <w:t>20</w:t>
            </w:r>
          </w:p>
        </w:tc>
        <w:tc>
          <w:tcPr>
            <w:tcW w:w="537" w:type="pct"/>
            <w:shd w:val="clear" w:color="auto" w:fill="auto"/>
            <w:vAlign w:val="center"/>
          </w:tcPr>
          <w:p w14:paraId="5C992BA0" w14:textId="77777777" w:rsidR="00931048" w:rsidRPr="00D20DEA" w:rsidRDefault="00931048" w:rsidP="00E92628">
            <w:pPr>
              <w:pStyle w:val="TAH"/>
              <w:rPr>
                <w:bCs/>
              </w:rPr>
            </w:pPr>
            <w:r w:rsidRPr="00D20DEA">
              <w:rPr>
                <w:bCs/>
              </w:rPr>
              <w:t>25</w:t>
            </w:r>
          </w:p>
        </w:tc>
        <w:tc>
          <w:tcPr>
            <w:tcW w:w="597" w:type="pct"/>
            <w:vAlign w:val="center"/>
          </w:tcPr>
          <w:p w14:paraId="7B2B75A8" w14:textId="77777777" w:rsidR="00931048" w:rsidRPr="00D20DEA" w:rsidRDefault="00931048" w:rsidP="00E92628">
            <w:pPr>
              <w:pStyle w:val="TAH"/>
              <w:rPr>
                <w:bCs/>
              </w:rPr>
            </w:pPr>
            <w:r w:rsidRPr="00D20DEA">
              <w:rPr>
                <w:bCs/>
              </w:rPr>
              <w:t>30</w:t>
            </w:r>
          </w:p>
        </w:tc>
        <w:tc>
          <w:tcPr>
            <w:tcW w:w="539" w:type="pct"/>
            <w:vAlign w:val="center"/>
          </w:tcPr>
          <w:p w14:paraId="4D4DBABF" w14:textId="77777777" w:rsidR="00931048" w:rsidRPr="00D20DEA" w:rsidRDefault="00931048" w:rsidP="00E92628">
            <w:pPr>
              <w:pStyle w:val="TAH"/>
              <w:rPr>
                <w:bCs/>
              </w:rPr>
            </w:pPr>
            <w:r w:rsidRPr="00D20DEA">
              <w:rPr>
                <w:bCs/>
              </w:rPr>
              <w:t>35</w:t>
            </w:r>
          </w:p>
        </w:tc>
        <w:tc>
          <w:tcPr>
            <w:tcW w:w="840" w:type="pct"/>
            <w:tcBorders>
              <w:bottom w:val="single" w:sz="4" w:space="0" w:color="auto"/>
            </w:tcBorders>
            <w:shd w:val="clear" w:color="auto" w:fill="auto"/>
          </w:tcPr>
          <w:p w14:paraId="3A021006" w14:textId="77777777" w:rsidR="00931048" w:rsidRPr="00D20DEA" w:rsidRDefault="00931048" w:rsidP="00E92628">
            <w:pPr>
              <w:pStyle w:val="TAH"/>
              <w:rPr>
                <w:bCs/>
              </w:rPr>
            </w:pPr>
            <w:r w:rsidRPr="00D20DEA">
              <w:rPr>
                <w:bCs/>
              </w:rPr>
              <w:t>Duplex Mode</w:t>
            </w:r>
          </w:p>
        </w:tc>
      </w:tr>
      <w:tr w:rsidR="00931048" w:rsidRPr="00D20DEA" w14:paraId="6534D60D" w14:textId="77777777" w:rsidTr="00E92628">
        <w:trPr>
          <w:trHeight w:val="187"/>
          <w:jc w:val="center"/>
        </w:trPr>
        <w:tc>
          <w:tcPr>
            <w:tcW w:w="714" w:type="pct"/>
            <w:tcBorders>
              <w:bottom w:val="nil"/>
            </w:tcBorders>
            <w:shd w:val="clear" w:color="auto" w:fill="auto"/>
          </w:tcPr>
          <w:p w14:paraId="7799A86A" w14:textId="77777777" w:rsidR="00931048" w:rsidRPr="00801C68" w:rsidRDefault="00931048" w:rsidP="00E92628">
            <w:pPr>
              <w:pStyle w:val="TAC"/>
            </w:pPr>
            <w:r w:rsidRPr="00801C68">
              <w:t>n105</w:t>
            </w:r>
          </w:p>
        </w:tc>
        <w:tc>
          <w:tcPr>
            <w:tcW w:w="393" w:type="pct"/>
            <w:tcBorders>
              <w:top w:val="single" w:sz="4" w:space="0" w:color="auto"/>
              <w:left w:val="single" w:sz="4" w:space="0" w:color="auto"/>
              <w:bottom w:val="single" w:sz="4" w:space="0" w:color="auto"/>
              <w:right w:val="single" w:sz="4" w:space="0" w:color="auto"/>
            </w:tcBorders>
          </w:tcPr>
          <w:p w14:paraId="5CDED0C9" w14:textId="77777777" w:rsidR="00931048" w:rsidRPr="00801C68" w:rsidRDefault="00931048" w:rsidP="00E92628">
            <w:pPr>
              <w:pStyle w:val="TAC"/>
              <w:rPr>
                <w:rFonts w:cs="Arial"/>
              </w:rPr>
            </w:pPr>
            <w:r w:rsidRPr="00801C68">
              <w:rPr>
                <w:rFonts w:cs="Arial"/>
                <w:lang w:val="fr-FR"/>
              </w:rPr>
              <w:t>15</w:t>
            </w:r>
          </w:p>
        </w:tc>
        <w:tc>
          <w:tcPr>
            <w:tcW w:w="330" w:type="pct"/>
            <w:tcBorders>
              <w:top w:val="single" w:sz="4" w:space="0" w:color="auto"/>
              <w:left w:val="single" w:sz="4" w:space="0" w:color="auto"/>
              <w:bottom w:val="single" w:sz="4" w:space="0" w:color="auto"/>
              <w:right w:val="single" w:sz="4" w:space="0" w:color="auto"/>
            </w:tcBorders>
          </w:tcPr>
          <w:p w14:paraId="6AFC869C" w14:textId="77777777" w:rsidR="00931048" w:rsidRPr="00801C68" w:rsidRDefault="00931048" w:rsidP="00E92628">
            <w:pPr>
              <w:pStyle w:val="TAC"/>
            </w:pPr>
            <w:r w:rsidRPr="00801C68">
              <w:rPr>
                <w:lang w:val="fr-FR"/>
              </w:rPr>
              <w:t>25</w:t>
            </w:r>
          </w:p>
        </w:tc>
        <w:tc>
          <w:tcPr>
            <w:tcW w:w="338" w:type="pct"/>
            <w:tcBorders>
              <w:top w:val="single" w:sz="4" w:space="0" w:color="auto"/>
              <w:left w:val="single" w:sz="4" w:space="0" w:color="auto"/>
              <w:bottom w:val="single" w:sz="4" w:space="0" w:color="auto"/>
              <w:right w:val="single" w:sz="4" w:space="0" w:color="auto"/>
            </w:tcBorders>
          </w:tcPr>
          <w:p w14:paraId="74C4F578" w14:textId="77777777" w:rsidR="00931048" w:rsidRPr="00801C68" w:rsidRDefault="00931048" w:rsidP="00E92628">
            <w:pPr>
              <w:pStyle w:val="TAC"/>
            </w:pPr>
            <w:r w:rsidRPr="00801C68">
              <w:rPr>
                <w:lang w:val="fr-FR"/>
              </w:rPr>
              <w:t>25</w:t>
            </w:r>
            <w:r w:rsidRPr="00801C68">
              <w:rPr>
                <w:vertAlign w:val="superscript"/>
                <w:lang w:val="fr-FR"/>
              </w:rPr>
              <w:t>1</w:t>
            </w:r>
          </w:p>
        </w:tc>
        <w:tc>
          <w:tcPr>
            <w:tcW w:w="390" w:type="pct"/>
            <w:tcBorders>
              <w:top w:val="single" w:sz="4" w:space="0" w:color="auto"/>
              <w:left w:val="single" w:sz="4" w:space="0" w:color="auto"/>
              <w:bottom w:val="single" w:sz="4" w:space="0" w:color="auto"/>
              <w:right w:val="single" w:sz="4" w:space="0" w:color="auto"/>
            </w:tcBorders>
          </w:tcPr>
          <w:p w14:paraId="430A04E3" w14:textId="77777777" w:rsidR="00931048" w:rsidRPr="00801C68" w:rsidRDefault="00931048" w:rsidP="00E92628">
            <w:pPr>
              <w:pStyle w:val="TAC"/>
            </w:pPr>
            <w:r w:rsidRPr="00801C68">
              <w:rPr>
                <w:lang w:val="fr-FR"/>
              </w:rPr>
              <w:t>20</w:t>
            </w:r>
            <w:r w:rsidRPr="00801C68">
              <w:rPr>
                <w:vertAlign w:val="superscript"/>
                <w:lang w:val="fr-FR"/>
              </w:rPr>
              <w:t>1</w:t>
            </w:r>
          </w:p>
        </w:tc>
        <w:tc>
          <w:tcPr>
            <w:tcW w:w="322" w:type="pct"/>
            <w:tcBorders>
              <w:top w:val="single" w:sz="4" w:space="0" w:color="auto"/>
              <w:left w:val="single" w:sz="4" w:space="0" w:color="auto"/>
              <w:bottom w:val="single" w:sz="4" w:space="0" w:color="auto"/>
              <w:right w:val="single" w:sz="4" w:space="0" w:color="auto"/>
            </w:tcBorders>
          </w:tcPr>
          <w:p w14:paraId="726A61E3" w14:textId="77777777" w:rsidR="00931048" w:rsidRPr="00801C68" w:rsidRDefault="00931048" w:rsidP="00E92628">
            <w:pPr>
              <w:pStyle w:val="TAC"/>
            </w:pPr>
            <w:r w:rsidRPr="00801C68">
              <w:rPr>
                <w:lang w:val="fr-FR"/>
              </w:rPr>
              <w:t>20</w:t>
            </w:r>
            <w:r w:rsidRPr="00801C68">
              <w:rPr>
                <w:vertAlign w:val="superscript"/>
                <w:lang w:val="fr-FR"/>
              </w:rPr>
              <w:t>1</w:t>
            </w:r>
          </w:p>
        </w:tc>
        <w:tc>
          <w:tcPr>
            <w:tcW w:w="537" w:type="pct"/>
            <w:tcBorders>
              <w:top w:val="single" w:sz="4" w:space="0" w:color="auto"/>
              <w:left w:val="single" w:sz="4" w:space="0" w:color="auto"/>
              <w:bottom w:val="single" w:sz="4" w:space="0" w:color="auto"/>
              <w:right w:val="single" w:sz="4" w:space="0" w:color="auto"/>
            </w:tcBorders>
          </w:tcPr>
          <w:p w14:paraId="763A311B" w14:textId="77777777" w:rsidR="00931048" w:rsidRPr="00801C68" w:rsidRDefault="00931048" w:rsidP="00E92628">
            <w:pPr>
              <w:pStyle w:val="TAC"/>
            </w:pPr>
            <w:r w:rsidRPr="00801C68">
              <w:rPr>
                <w:lang w:val="fr-FR"/>
              </w:rPr>
              <w:t>Note 5</w:t>
            </w:r>
          </w:p>
        </w:tc>
        <w:tc>
          <w:tcPr>
            <w:tcW w:w="597" w:type="pct"/>
            <w:tcBorders>
              <w:top w:val="single" w:sz="4" w:space="0" w:color="auto"/>
              <w:left w:val="single" w:sz="4" w:space="0" w:color="auto"/>
              <w:bottom w:val="single" w:sz="4" w:space="0" w:color="auto"/>
              <w:right w:val="single" w:sz="4" w:space="0" w:color="auto"/>
            </w:tcBorders>
          </w:tcPr>
          <w:p w14:paraId="317ACB86" w14:textId="77777777" w:rsidR="00931048" w:rsidRPr="00801C68" w:rsidRDefault="00931048" w:rsidP="00E92628">
            <w:pPr>
              <w:pStyle w:val="TAC"/>
            </w:pPr>
            <w:r w:rsidRPr="00801C68">
              <w:rPr>
                <w:lang w:val="fr-FR"/>
              </w:rPr>
              <w:t>Note 5</w:t>
            </w:r>
          </w:p>
        </w:tc>
        <w:tc>
          <w:tcPr>
            <w:tcW w:w="539" w:type="pct"/>
            <w:tcBorders>
              <w:top w:val="single" w:sz="4" w:space="0" w:color="auto"/>
              <w:left w:val="single" w:sz="4" w:space="0" w:color="auto"/>
              <w:bottom w:val="single" w:sz="4" w:space="0" w:color="auto"/>
              <w:right w:val="single" w:sz="4" w:space="0" w:color="auto"/>
            </w:tcBorders>
          </w:tcPr>
          <w:p w14:paraId="4EDEB11D" w14:textId="77777777" w:rsidR="00931048" w:rsidRPr="00801C68" w:rsidRDefault="00931048" w:rsidP="00E92628">
            <w:pPr>
              <w:pStyle w:val="TAC"/>
            </w:pPr>
            <w:r w:rsidRPr="00801C68">
              <w:rPr>
                <w:lang w:val="fr-FR"/>
              </w:rPr>
              <w:t>Note 5</w:t>
            </w:r>
          </w:p>
        </w:tc>
        <w:tc>
          <w:tcPr>
            <w:tcW w:w="840" w:type="pct"/>
            <w:tcBorders>
              <w:bottom w:val="nil"/>
            </w:tcBorders>
            <w:shd w:val="clear" w:color="auto" w:fill="auto"/>
          </w:tcPr>
          <w:p w14:paraId="503D92C8" w14:textId="77777777" w:rsidR="00931048" w:rsidRPr="00801C68" w:rsidRDefault="00931048" w:rsidP="00E92628">
            <w:pPr>
              <w:pStyle w:val="TAC"/>
            </w:pPr>
            <w:r w:rsidRPr="00801C68">
              <w:t>FDD</w:t>
            </w:r>
          </w:p>
        </w:tc>
      </w:tr>
      <w:tr w:rsidR="00931048" w:rsidRPr="00D20DEA" w14:paraId="6975A3B3" w14:textId="77777777" w:rsidTr="00E92628">
        <w:trPr>
          <w:trHeight w:val="187"/>
          <w:jc w:val="center"/>
        </w:trPr>
        <w:tc>
          <w:tcPr>
            <w:tcW w:w="714" w:type="pct"/>
            <w:tcBorders>
              <w:top w:val="nil"/>
              <w:bottom w:val="nil"/>
            </w:tcBorders>
            <w:shd w:val="clear" w:color="auto" w:fill="auto"/>
          </w:tcPr>
          <w:p w14:paraId="370490EE" w14:textId="77777777" w:rsidR="00931048" w:rsidRPr="00801C68" w:rsidRDefault="00931048" w:rsidP="00E92628">
            <w:pPr>
              <w:pStyle w:val="TAC"/>
              <w:rPr>
                <w:rFonts w:cs="Arial"/>
              </w:rPr>
            </w:pPr>
          </w:p>
        </w:tc>
        <w:tc>
          <w:tcPr>
            <w:tcW w:w="393" w:type="pct"/>
            <w:tcBorders>
              <w:top w:val="single" w:sz="4" w:space="0" w:color="auto"/>
              <w:left w:val="single" w:sz="4" w:space="0" w:color="auto"/>
              <w:bottom w:val="single" w:sz="4" w:space="0" w:color="auto"/>
              <w:right w:val="single" w:sz="4" w:space="0" w:color="auto"/>
            </w:tcBorders>
          </w:tcPr>
          <w:p w14:paraId="4538DCFE" w14:textId="77777777" w:rsidR="00931048" w:rsidRPr="00801C68" w:rsidRDefault="00931048" w:rsidP="00E92628">
            <w:pPr>
              <w:pStyle w:val="TAC"/>
              <w:rPr>
                <w:rFonts w:cs="Arial"/>
              </w:rPr>
            </w:pPr>
            <w:r w:rsidRPr="00801C68">
              <w:rPr>
                <w:rFonts w:cs="Arial"/>
                <w:lang w:val="fr-FR"/>
              </w:rPr>
              <w:t>30</w:t>
            </w:r>
          </w:p>
        </w:tc>
        <w:tc>
          <w:tcPr>
            <w:tcW w:w="330" w:type="pct"/>
            <w:tcBorders>
              <w:top w:val="single" w:sz="4" w:space="0" w:color="auto"/>
              <w:left w:val="single" w:sz="4" w:space="0" w:color="auto"/>
              <w:bottom w:val="single" w:sz="4" w:space="0" w:color="auto"/>
              <w:right w:val="single" w:sz="4" w:space="0" w:color="auto"/>
            </w:tcBorders>
          </w:tcPr>
          <w:p w14:paraId="3182D0A5" w14:textId="77777777" w:rsidR="00931048" w:rsidRPr="00801C68" w:rsidRDefault="00931048" w:rsidP="00E92628">
            <w:pPr>
              <w:pStyle w:val="TAC"/>
            </w:pPr>
          </w:p>
        </w:tc>
        <w:tc>
          <w:tcPr>
            <w:tcW w:w="338" w:type="pct"/>
            <w:tcBorders>
              <w:top w:val="single" w:sz="4" w:space="0" w:color="auto"/>
              <w:left w:val="single" w:sz="4" w:space="0" w:color="auto"/>
              <w:bottom w:val="single" w:sz="4" w:space="0" w:color="auto"/>
              <w:right w:val="single" w:sz="4" w:space="0" w:color="auto"/>
            </w:tcBorders>
          </w:tcPr>
          <w:p w14:paraId="028B11A7" w14:textId="77777777" w:rsidR="00931048" w:rsidRPr="00801C68" w:rsidRDefault="00931048" w:rsidP="00E92628">
            <w:pPr>
              <w:pStyle w:val="TAC"/>
            </w:pPr>
            <w:r w:rsidRPr="00801C68">
              <w:rPr>
                <w:lang w:val="fr-FR"/>
              </w:rPr>
              <w:t>12</w:t>
            </w:r>
            <w:r w:rsidRPr="00801C68">
              <w:rPr>
                <w:vertAlign w:val="superscript"/>
                <w:lang w:val="fr-FR"/>
              </w:rPr>
              <w:t>1</w:t>
            </w:r>
          </w:p>
        </w:tc>
        <w:tc>
          <w:tcPr>
            <w:tcW w:w="390" w:type="pct"/>
            <w:tcBorders>
              <w:top w:val="single" w:sz="4" w:space="0" w:color="auto"/>
              <w:left w:val="single" w:sz="4" w:space="0" w:color="auto"/>
              <w:bottom w:val="single" w:sz="4" w:space="0" w:color="auto"/>
              <w:right w:val="single" w:sz="4" w:space="0" w:color="auto"/>
            </w:tcBorders>
          </w:tcPr>
          <w:p w14:paraId="2C30E0A0" w14:textId="77777777" w:rsidR="00931048" w:rsidRPr="00801C68" w:rsidRDefault="00931048" w:rsidP="00E92628">
            <w:pPr>
              <w:pStyle w:val="TAC"/>
            </w:pPr>
            <w:r w:rsidRPr="00801C68">
              <w:rPr>
                <w:lang w:val="fr-FR"/>
              </w:rPr>
              <w:t>10</w:t>
            </w:r>
            <w:r w:rsidRPr="00801C68">
              <w:rPr>
                <w:vertAlign w:val="superscript"/>
                <w:lang w:val="fr-FR"/>
              </w:rPr>
              <w:t>1</w:t>
            </w:r>
          </w:p>
        </w:tc>
        <w:tc>
          <w:tcPr>
            <w:tcW w:w="322" w:type="pct"/>
            <w:tcBorders>
              <w:top w:val="single" w:sz="4" w:space="0" w:color="auto"/>
              <w:left w:val="single" w:sz="4" w:space="0" w:color="auto"/>
              <w:bottom w:val="single" w:sz="4" w:space="0" w:color="auto"/>
              <w:right w:val="single" w:sz="4" w:space="0" w:color="auto"/>
            </w:tcBorders>
          </w:tcPr>
          <w:p w14:paraId="6A26335D" w14:textId="77777777" w:rsidR="00931048" w:rsidRPr="00801C68" w:rsidRDefault="00931048" w:rsidP="00E92628">
            <w:pPr>
              <w:pStyle w:val="TAC"/>
            </w:pPr>
            <w:r w:rsidRPr="00801C68">
              <w:rPr>
                <w:lang w:val="fr-FR"/>
              </w:rPr>
              <w:t>10</w:t>
            </w:r>
            <w:r w:rsidRPr="00801C68">
              <w:rPr>
                <w:vertAlign w:val="superscript"/>
                <w:lang w:val="fr-FR"/>
              </w:rPr>
              <w:t>1</w:t>
            </w:r>
          </w:p>
        </w:tc>
        <w:tc>
          <w:tcPr>
            <w:tcW w:w="537" w:type="pct"/>
            <w:tcBorders>
              <w:top w:val="single" w:sz="4" w:space="0" w:color="auto"/>
              <w:left w:val="single" w:sz="4" w:space="0" w:color="auto"/>
              <w:bottom w:val="single" w:sz="4" w:space="0" w:color="auto"/>
              <w:right w:val="single" w:sz="4" w:space="0" w:color="auto"/>
            </w:tcBorders>
          </w:tcPr>
          <w:p w14:paraId="568D7470" w14:textId="77777777" w:rsidR="00931048" w:rsidRPr="00801C68" w:rsidRDefault="00931048" w:rsidP="00E92628">
            <w:pPr>
              <w:pStyle w:val="TAC"/>
            </w:pPr>
            <w:r w:rsidRPr="00801C68">
              <w:rPr>
                <w:lang w:val="fr-FR"/>
              </w:rPr>
              <w:t>Note 5</w:t>
            </w:r>
          </w:p>
        </w:tc>
        <w:tc>
          <w:tcPr>
            <w:tcW w:w="597" w:type="pct"/>
            <w:tcBorders>
              <w:top w:val="single" w:sz="4" w:space="0" w:color="auto"/>
              <w:left w:val="single" w:sz="4" w:space="0" w:color="auto"/>
              <w:bottom w:val="single" w:sz="4" w:space="0" w:color="auto"/>
              <w:right w:val="single" w:sz="4" w:space="0" w:color="auto"/>
            </w:tcBorders>
          </w:tcPr>
          <w:p w14:paraId="0BB8DDFC" w14:textId="77777777" w:rsidR="00931048" w:rsidRPr="00801C68" w:rsidRDefault="00931048" w:rsidP="00E92628">
            <w:pPr>
              <w:pStyle w:val="TAC"/>
            </w:pPr>
            <w:r w:rsidRPr="00801C68">
              <w:rPr>
                <w:lang w:val="fr-FR"/>
              </w:rPr>
              <w:t>Note 5</w:t>
            </w:r>
          </w:p>
        </w:tc>
        <w:tc>
          <w:tcPr>
            <w:tcW w:w="539" w:type="pct"/>
            <w:tcBorders>
              <w:top w:val="single" w:sz="4" w:space="0" w:color="auto"/>
              <w:left w:val="single" w:sz="4" w:space="0" w:color="auto"/>
              <w:bottom w:val="single" w:sz="4" w:space="0" w:color="auto"/>
              <w:right w:val="single" w:sz="4" w:space="0" w:color="auto"/>
            </w:tcBorders>
          </w:tcPr>
          <w:p w14:paraId="4E28B23C" w14:textId="77777777" w:rsidR="00931048" w:rsidRPr="00801C68" w:rsidRDefault="00931048" w:rsidP="00E92628">
            <w:pPr>
              <w:pStyle w:val="TAC"/>
            </w:pPr>
            <w:r w:rsidRPr="00801C68">
              <w:rPr>
                <w:lang w:val="fr-FR"/>
              </w:rPr>
              <w:t>Note 5</w:t>
            </w:r>
          </w:p>
        </w:tc>
        <w:tc>
          <w:tcPr>
            <w:tcW w:w="840" w:type="pct"/>
            <w:tcBorders>
              <w:top w:val="nil"/>
              <w:bottom w:val="nil"/>
            </w:tcBorders>
            <w:shd w:val="clear" w:color="auto" w:fill="auto"/>
          </w:tcPr>
          <w:p w14:paraId="0A4A8FA7" w14:textId="77777777" w:rsidR="00931048" w:rsidRPr="00801C68" w:rsidRDefault="00931048" w:rsidP="00E92628">
            <w:pPr>
              <w:pStyle w:val="TAC"/>
            </w:pPr>
          </w:p>
        </w:tc>
      </w:tr>
      <w:tr w:rsidR="00931048" w:rsidRPr="00D20DEA" w14:paraId="26AE0BC7" w14:textId="77777777" w:rsidTr="00E92628">
        <w:trPr>
          <w:trHeight w:val="255"/>
          <w:jc w:val="center"/>
        </w:trPr>
        <w:tc>
          <w:tcPr>
            <w:tcW w:w="5000" w:type="pct"/>
            <w:gridSpan w:val="10"/>
          </w:tcPr>
          <w:p w14:paraId="61160668" w14:textId="77777777" w:rsidR="00931048" w:rsidRPr="00801C68" w:rsidRDefault="00931048" w:rsidP="00E92628">
            <w:pPr>
              <w:pStyle w:val="TAN"/>
            </w:pPr>
            <w:r w:rsidRPr="00801C68">
              <w:t>Note 1:</w:t>
            </w:r>
            <w:r w:rsidRPr="00801C68">
              <w:tab/>
              <w:t>UL resource blocks shall be located as close as possible to the downlink operating band but confined within the transmission bandwidth configuration for the channel bandwidth (Table 5.3.2-1).</w:t>
            </w:r>
          </w:p>
          <w:p w14:paraId="2500B1B4" w14:textId="77777777" w:rsidR="00931048" w:rsidRPr="00801C68" w:rsidRDefault="00931048" w:rsidP="00E92628">
            <w:pPr>
              <w:pStyle w:val="TAN"/>
            </w:pPr>
            <w:r w:rsidRPr="00801C68">
              <w:t>Note 5:</w:t>
            </w:r>
            <w:r w:rsidRPr="00801C68">
              <w:tab/>
              <w:t>For this DL channel bandwidth, the UL configuration of the highest UL channel bandwidth specified in Table 5.3.6-1 and the default Tx-Rx frequency separation specified in Table 5.4.4-1 shall be used.</w:t>
            </w:r>
          </w:p>
        </w:tc>
      </w:tr>
    </w:tbl>
    <w:p w14:paraId="5B9803AC" w14:textId="2ABD9E7D" w:rsidR="004B655F" w:rsidRDefault="004B655F" w:rsidP="004B655F">
      <w:pPr>
        <w:pStyle w:val="Heading2"/>
        <w:spacing w:after="240"/>
        <w:rPr>
          <w:lang w:eastAsia="zh-CN"/>
        </w:rPr>
      </w:pPr>
      <w:r>
        <w:rPr>
          <w:lang w:eastAsia="zh-CN"/>
        </w:rPr>
        <w:t>DTT CH36 scenario for n105 and n71</w:t>
      </w:r>
    </w:p>
    <w:p w14:paraId="5A6EF6EB" w14:textId="55D2DC3D" w:rsidR="00931048" w:rsidRDefault="00931048" w:rsidP="00026EDF">
      <w:pPr>
        <w:rPr>
          <w:lang w:val="en-GB" w:eastAsia="zh-CN"/>
        </w:rPr>
      </w:pPr>
      <w:r>
        <w:rPr>
          <w:lang w:val="en-GB" w:eastAsia="zh-CN"/>
        </w:rPr>
        <w:t>In [1],</w:t>
      </w:r>
      <w:r w:rsidR="00494D5C">
        <w:rPr>
          <w:lang w:val="en-GB" w:eastAsia="zh-CN"/>
        </w:rPr>
        <w:t xml:space="preserve"> with the following way forward,</w:t>
      </w:r>
      <w:r>
        <w:rPr>
          <w:lang w:val="en-GB" w:eastAsia="zh-CN"/>
        </w:rPr>
        <w:t xml:space="preserve"> it is already agreed that </w:t>
      </w:r>
      <w:r w:rsidR="00494D5C">
        <w:rPr>
          <w:lang w:val="en-GB" w:eastAsia="zh-CN"/>
        </w:rPr>
        <w:t>the Case 3 -15dBm blocker converts to a -22dBm blocker level thanks to a 7dB lower DTT station power level. Still</w:t>
      </w:r>
      <w:r w:rsidR="0022468F">
        <w:rPr>
          <w:lang w:val="en-GB" w:eastAsia="zh-CN"/>
        </w:rPr>
        <w:t>,</w:t>
      </w:r>
      <w:r w:rsidR="00494D5C">
        <w:rPr>
          <w:lang w:val="en-GB" w:eastAsia="zh-CN"/>
        </w:rPr>
        <w:t xml:space="preserve"> the applicability at lower offsets need</w:t>
      </w:r>
      <w:r w:rsidR="0022468F">
        <w:rPr>
          <w:lang w:val="en-GB" w:eastAsia="zh-CN"/>
        </w:rPr>
        <w:t>s</w:t>
      </w:r>
      <w:r w:rsidR="00494D5C">
        <w:rPr>
          <w:lang w:val="en-GB" w:eastAsia="zh-CN"/>
        </w:rPr>
        <w:t xml:space="preserve"> to be discussed.</w:t>
      </w:r>
    </w:p>
    <w:p w14:paraId="10C1D53D" w14:textId="641AFF85" w:rsidR="00494D5C" w:rsidRPr="00494D5C" w:rsidRDefault="00494D5C" w:rsidP="00494D5C">
      <w:pPr>
        <w:spacing w:after="0"/>
        <w:rPr>
          <w:i/>
          <w:iCs/>
          <w:lang w:eastAsia="zh-CN"/>
        </w:rPr>
      </w:pPr>
      <w:r w:rsidRPr="00494D5C">
        <w:rPr>
          <w:b/>
          <w:i/>
          <w:iCs/>
          <w:lang w:eastAsia="zh-CN"/>
        </w:rPr>
        <w:t>“Way forward</w:t>
      </w:r>
    </w:p>
    <w:p w14:paraId="771E3A48" w14:textId="77777777" w:rsidR="00494D5C" w:rsidRPr="00494D5C" w:rsidRDefault="00494D5C" w:rsidP="00494D5C">
      <w:pPr>
        <w:numPr>
          <w:ilvl w:val="0"/>
          <w:numId w:val="34"/>
        </w:numPr>
        <w:overflowPunct/>
        <w:autoSpaceDE/>
        <w:autoSpaceDN/>
        <w:adjustRightInd/>
        <w:spacing w:after="0"/>
        <w:textAlignment w:val="auto"/>
        <w:rPr>
          <w:i/>
          <w:iCs/>
          <w:lang w:eastAsia="zh-CN"/>
        </w:rPr>
      </w:pPr>
      <w:r w:rsidRPr="00494D5C">
        <w:rPr>
          <w:i/>
          <w:iCs/>
          <w:lang w:eastAsia="zh-CN"/>
        </w:rPr>
        <w:t>-22dBm interferer level is used for blocker at 605MHz instead of -15dBm for n71 (in-band blocker case 3)</w:t>
      </w:r>
    </w:p>
    <w:p w14:paraId="5DAED40A" w14:textId="77777777" w:rsidR="00494D5C" w:rsidRPr="00494D5C" w:rsidRDefault="00494D5C" w:rsidP="00494D5C">
      <w:pPr>
        <w:numPr>
          <w:ilvl w:val="0"/>
          <w:numId w:val="34"/>
        </w:numPr>
        <w:overflowPunct/>
        <w:autoSpaceDE/>
        <w:autoSpaceDN/>
        <w:adjustRightInd/>
        <w:spacing w:after="0"/>
        <w:textAlignment w:val="auto"/>
        <w:rPr>
          <w:i/>
          <w:iCs/>
          <w:lang w:eastAsia="zh-CN"/>
        </w:rPr>
      </w:pPr>
      <w:r w:rsidRPr="00494D5C">
        <w:rPr>
          <w:i/>
          <w:iCs/>
          <w:lang w:eastAsia="zh-CN"/>
        </w:rPr>
        <w:lastRenderedPageBreak/>
        <w:t>How to capture the requirement will be further discussed at next meeting</w:t>
      </w:r>
    </w:p>
    <w:p w14:paraId="17097574" w14:textId="3A003984" w:rsidR="00494D5C" w:rsidRPr="00494D5C" w:rsidRDefault="00494D5C" w:rsidP="00494D5C">
      <w:pPr>
        <w:numPr>
          <w:ilvl w:val="1"/>
          <w:numId w:val="34"/>
        </w:numPr>
        <w:overflowPunct/>
        <w:autoSpaceDE/>
        <w:autoSpaceDN/>
        <w:adjustRightInd/>
        <w:spacing w:after="0"/>
        <w:textAlignment w:val="auto"/>
        <w:rPr>
          <w:i/>
          <w:iCs/>
          <w:lang w:eastAsia="zh-CN"/>
        </w:rPr>
      </w:pPr>
      <w:r w:rsidRPr="00494D5C">
        <w:rPr>
          <w:i/>
          <w:iCs/>
          <w:lang w:eastAsia="zh-CN"/>
        </w:rPr>
        <w:t>Further relaxing or not for the lowest channels will also be discussed”</w:t>
      </w:r>
    </w:p>
    <w:p w14:paraId="444A7282" w14:textId="77777777" w:rsidR="00494D5C" w:rsidRDefault="00494D5C" w:rsidP="00026EDF">
      <w:pPr>
        <w:rPr>
          <w:lang w:val="en-GB" w:eastAsia="zh-CN"/>
        </w:rPr>
      </w:pPr>
    </w:p>
    <w:p w14:paraId="17D3D259" w14:textId="469103C5" w:rsidR="00026EDF" w:rsidRDefault="00026EDF" w:rsidP="00026EDF">
      <w:pPr>
        <w:rPr>
          <w:lang w:val="en-GB" w:eastAsia="zh-CN"/>
        </w:rPr>
      </w:pPr>
      <w:r>
        <w:rPr>
          <w:lang w:val="en-GB" w:eastAsia="zh-CN"/>
        </w:rPr>
        <w:t>For both n71 and n105, the closest interfering channel is the 6MHz DTT channel 36 at 602-608MHz which is a 9MHz gap for n71 and 4MHz gap for n105 as shown in Figure 1.</w:t>
      </w:r>
    </w:p>
    <w:p w14:paraId="02191808" w14:textId="77777777" w:rsidR="00931048" w:rsidRDefault="00026EDF" w:rsidP="00931048">
      <w:pPr>
        <w:keepNext/>
      </w:pPr>
      <w:r w:rsidRPr="00026EDF">
        <w:rPr>
          <w:noProof/>
          <w:lang w:val="en-GB" w:eastAsia="zh-CN"/>
        </w:rPr>
        <w:drawing>
          <wp:inline distT="0" distB="0" distL="0" distR="0" wp14:anchorId="64F97C5C" wp14:editId="22CA33E7">
            <wp:extent cx="6591869" cy="718962"/>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r="23617"/>
                    <a:stretch/>
                  </pic:blipFill>
                  <pic:spPr bwMode="auto">
                    <a:xfrm>
                      <a:off x="0" y="0"/>
                      <a:ext cx="6609394" cy="720873"/>
                    </a:xfrm>
                    <a:prstGeom prst="rect">
                      <a:avLst/>
                    </a:prstGeom>
                    <a:ln>
                      <a:noFill/>
                    </a:ln>
                    <a:extLst>
                      <a:ext uri="{53640926-AAD7-44D8-BBD7-CCE9431645EC}">
                        <a14:shadowObscured xmlns:a14="http://schemas.microsoft.com/office/drawing/2010/main"/>
                      </a:ext>
                    </a:extLst>
                  </pic:spPr>
                </pic:pic>
              </a:graphicData>
            </a:graphic>
          </wp:inline>
        </w:drawing>
      </w:r>
    </w:p>
    <w:p w14:paraId="17BB9F6F" w14:textId="31810118" w:rsidR="00931048" w:rsidRDefault="00931048" w:rsidP="00931048">
      <w:pPr>
        <w:pStyle w:val="Caption"/>
        <w:jc w:val="center"/>
      </w:pPr>
      <w:r>
        <w:t xml:space="preserve">Figure </w:t>
      </w:r>
      <w:r w:rsidR="0083541E">
        <w:fldChar w:fldCharType="begin"/>
      </w:r>
      <w:r w:rsidR="0083541E">
        <w:instrText xml:space="preserve"> SEQ Figur</w:instrText>
      </w:r>
      <w:r w:rsidR="0083541E">
        <w:instrText xml:space="preserve">e \* ARABIC </w:instrText>
      </w:r>
      <w:r w:rsidR="0083541E">
        <w:fldChar w:fldCharType="separate"/>
      </w:r>
      <w:r>
        <w:rPr>
          <w:noProof/>
        </w:rPr>
        <w:t>1</w:t>
      </w:r>
      <w:r w:rsidR="0083541E">
        <w:rPr>
          <w:noProof/>
        </w:rPr>
        <w:fldChar w:fldCharType="end"/>
      </w:r>
      <w:r>
        <w:t>: bands n71 and n105 with 6, 7 and 8MHz DTT channels positions.</w:t>
      </w:r>
    </w:p>
    <w:p w14:paraId="4775E06D" w14:textId="4DBDB6C2" w:rsidR="00026EDF" w:rsidRDefault="00026EDF" w:rsidP="00026EDF">
      <w:pPr>
        <w:rPr>
          <w:lang w:val="en-GB" w:eastAsia="zh-CN"/>
        </w:rPr>
      </w:pPr>
      <w:r>
        <w:rPr>
          <w:lang w:val="en-GB" w:eastAsia="zh-CN"/>
        </w:rPr>
        <w:t xml:space="preserve"> </w:t>
      </w:r>
    </w:p>
    <w:p w14:paraId="14755EC4" w14:textId="28C2E609" w:rsidR="00026EDF" w:rsidRDefault="007B6212" w:rsidP="00026EDF">
      <w:r>
        <w:rPr>
          <w:lang w:val="en-GB" w:eastAsia="zh-CN"/>
        </w:rPr>
        <w:t xml:space="preserve">If the DTT power level in Asia of 200kW is 7dB lower than the 1MW for the US, which justifies defining a -22dBm 5MHz blocker level for n105 instead of -15dBm for n71, in fact the blocker will be seen at the same frequency. Thus, the blocker offset would now be </w:t>
      </w:r>
      <w:r w:rsidRPr="00A1115A">
        <w:t>F</w:t>
      </w:r>
      <w:r w:rsidRPr="00A1115A">
        <w:rPr>
          <w:vertAlign w:val="subscript"/>
        </w:rPr>
        <w:t>DL_low</w:t>
      </w:r>
      <w:r w:rsidRPr="00A1115A">
        <w:t xml:space="preserve"> – </w:t>
      </w:r>
      <w:r>
        <w:t xml:space="preserve">7 </w:t>
      </w:r>
      <w:r>
        <w:rPr>
          <w:lang w:val="en-GB" w:eastAsia="zh-CN"/>
        </w:rPr>
        <w:t xml:space="preserve">for n105 rather than </w:t>
      </w:r>
      <w:r w:rsidRPr="00A1115A">
        <w:t>F</w:t>
      </w:r>
      <w:r w:rsidRPr="00A1115A">
        <w:rPr>
          <w:vertAlign w:val="subscript"/>
        </w:rPr>
        <w:t>DL_low</w:t>
      </w:r>
      <w:r w:rsidRPr="00A1115A">
        <w:t xml:space="preserve"> – 12</w:t>
      </w:r>
      <w:r>
        <w:t xml:space="preserve"> for n71.</w:t>
      </w:r>
      <w:r w:rsidR="003E34CB">
        <w:t xml:space="preserve"> Note that </w:t>
      </w:r>
      <w:r w:rsidR="0022468F">
        <w:t xml:space="preserve">this </w:t>
      </w:r>
      <w:r w:rsidR="003E34CB">
        <w:t xml:space="preserve">7MHz offset is even lower than the </w:t>
      </w:r>
      <w:r w:rsidR="0022468F">
        <w:t>C</w:t>
      </w:r>
      <w:r w:rsidR="003E34CB">
        <w:t>ase</w:t>
      </w:r>
      <w:r w:rsidR="0022468F">
        <w:t xml:space="preserve"> </w:t>
      </w:r>
      <w:r w:rsidR="003E34CB">
        <w:t>1 7.5MHz for which -56dBm is the generic requirement and assumes no help f</w:t>
      </w:r>
      <w:r w:rsidR="0022468F">
        <w:t>ro</w:t>
      </w:r>
      <w:r w:rsidR="003E34CB">
        <w:t>m the RF or analog BB filtering.</w:t>
      </w:r>
    </w:p>
    <w:p w14:paraId="1F55EE98" w14:textId="7099E6D6" w:rsidR="003E34CB" w:rsidRDefault="003E34CB" w:rsidP="00026EDF">
      <w:r>
        <w:t>If we take the -56dBm Case</w:t>
      </w:r>
      <w:r w:rsidR="0022468F">
        <w:t xml:space="preserve"> </w:t>
      </w:r>
      <w:r>
        <w:t xml:space="preserve">1 reference post filter it means that the -22dBm level needs to be reduced by 34dB which is significantly higher that the 20dB (typical) assumed for the </w:t>
      </w:r>
      <w:r w:rsidR="0022468F">
        <w:t xml:space="preserve">DTT </w:t>
      </w:r>
      <w:r>
        <w:t xml:space="preserve">coexistence simulations, this is certainly not a feasible target </w:t>
      </w:r>
      <w:r w:rsidR="0022468F">
        <w:t xml:space="preserve">for the filter </w:t>
      </w:r>
      <w:r>
        <w:t xml:space="preserve">and for large channel bandwidths there is very little hope that analog BB filter will help. </w:t>
      </w:r>
    </w:p>
    <w:p w14:paraId="26D70ABA" w14:textId="357DA284" w:rsidR="003E34CB" w:rsidRDefault="003E34CB" w:rsidP="00026EDF">
      <w:r>
        <w:t xml:space="preserve">We thus recognize that </w:t>
      </w:r>
      <w:r w:rsidR="00801C68">
        <w:t>some relaxation is needed for channels overlapping the first 5MHz of n105 for blocking which further emphasize that filtering is critical in that area and further justifies a 0.5dB REFSENS degradation for channels overlapping the 612 to 617 MHz frequency range</w:t>
      </w:r>
      <w:r w:rsidR="00A2217E">
        <w:t>.</w:t>
      </w:r>
    </w:p>
    <w:p w14:paraId="2FD05FC5" w14:textId="6AA7F662" w:rsidR="00A2217E" w:rsidRDefault="00A2217E" w:rsidP="00026EDF">
      <w:r>
        <w:t>One way to provide some relaxation, is</w:t>
      </w:r>
      <w:r w:rsidR="0022468F">
        <w:t xml:space="preserve"> to</w:t>
      </w:r>
      <w:r>
        <w:t xml:space="preserve"> relax the -22dBm level by </w:t>
      </w:r>
      <w:r w:rsidR="0022468F">
        <w:t xml:space="preserve">the </w:t>
      </w:r>
      <w:r>
        <w:t>same differen</w:t>
      </w:r>
      <w:r w:rsidR="0022468F">
        <w:t>ce</w:t>
      </w:r>
      <w:r>
        <w:t xml:space="preserve"> than between the generic case 1 (-56dBm) and case 2 (-44dBm) which would then </w:t>
      </w:r>
      <w:r w:rsidR="0022468F">
        <w:t>result in</w:t>
      </w:r>
      <w:r>
        <w:t xml:space="preserve"> -34dBm</w:t>
      </w:r>
      <w:r w:rsidR="0022468F">
        <w:t xml:space="preserve"> blocking level</w:t>
      </w:r>
      <w:r>
        <w:t xml:space="preserve"> for channels overlapping the 612 to 617 MHz frequency range.</w:t>
      </w:r>
    </w:p>
    <w:p w14:paraId="2D2A7599" w14:textId="79FFC820" w:rsidR="00386189" w:rsidRDefault="00386189" w:rsidP="00386189">
      <w:pPr>
        <w:spacing w:after="0"/>
      </w:pPr>
      <w:r>
        <w:t>Based on the above we would need two new test cases for n105:</w:t>
      </w:r>
    </w:p>
    <w:p w14:paraId="64AD5B8C" w14:textId="48A3EF75" w:rsidR="00386189" w:rsidRDefault="00386189" w:rsidP="00386189">
      <w:pPr>
        <w:pStyle w:val="ListParagraph"/>
        <w:numPr>
          <w:ilvl w:val="0"/>
          <w:numId w:val="32"/>
        </w:numPr>
      </w:pPr>
      <w:r>
        <w:t xml:space="preserve">Case 5: -22dBm at </w:t>
      </w:r>
      <w:r w:rsidRPr="00A1115A">
        <w:t>F</w:t>
      </w:r>
      <w:r w:rsidRPr="00A1115A">
        <w:rPr>
          <w:vertAlign w:val="subscript"/>
        </w:rPr>
        <w:t>DL_low</w:t>
      </w:r>
      <w:r w:rsidRPr="00A1115A">
        <w:t xml:space="preserve"> – 12</w:t>
      </w:r>
    </w:p>
    <w:p w14:paraId="72490A0D" w14:textId="698C0BEF" w:rsidR="00386189" w:rsidRDefault="00386189" w:rsidP="00386189">
      <w:pPr>
        <w:pStyle w:val="ListParagraph"/>
        <w:numPr>
          <w:ilvl w:val="0"/>
          <w:numId w:val="32"/>
        </w:numPr>
      </w:pPr>
      <w:r>
        <w:t xml:space="preserve">Case 6: -34dBm at </w:t>
      </w:r>
      <w:r w:rsidRPr="00A1115A">
        <w:t>F</w:t>
      </w:r>
      <w:r w:rsidRPr="00A1115A">
        <w:rPr>
          <w:vertAlign w:val="subscript"/>
        </w:rPr>
        <w:t>DL_low</w:t>
      </w:r>
      <w:r w:rsidRPr="00A1115A">
        <w:t xml:space="preserve"> – </w:t>
      </w:r>
      <w:r>
        <w:t>7</w:t>
      </w:r>
    </w:p>
    <w:p w14:paraId="15E8646F" w14:textId="54263DE2" w:rsidR="00A2217E" w:rsidRDefault="00A2217E" w:rsidP="00026EDF">
      <w:r>
        <w:t xml:space="preserve">Since </w:t>
      </w:r>
      <w:r w:rsidR="00386189">
        <w:t>the Case 1 is at 7.5MHz offset</w:t>
      </w:r>
      <w:r w:rsidR="0022468F">
        <w:t>,</w:t>
      </w:r>
      <w:r w:rsidR="00386189">
        <w:t xml:space="preserve"> it may be simpler to repurpose the Case 1 and add </w:t>
      </w:r>
      <w:r w:rsidR="00931048">
        <w:t xml:space="preserve">the -34dBm </w:t>
      </w:r>
      <w:r w:rsidR="00386189">
        <w:t>exception for the cases where the channels overlap the 612 to 617 MHz frequency range.</w:t>
      </w:r>
    </w:p>
    <w:p w14:paraId="234B4A18" w14:textId="5937A39F" w:rsidR="00386189" w:rsidRPr="00386189" w:rsidRDefault="00386189" w:rsidP="00386189">
      <w:pPr>
        <w:spacing w:after="0"/>
        <w:rPr>
          <w:b/>
          <w:bCs/>
        </w:rPr>
      </w:pPr>
      <w:r w:rsidRPr="00386189">
        <w:rPr>
          <w:b/>
          <w:bCs/>
        </w:rPr>
        <w:t>Proposal for n105 blocking:</w:t>
      </w:r>
    </w:p>
    <w:p w14:paraId="10F35478" w14:textId="401567B1" w:rsidR="00386189" w:rsidRPr="00386189" w:rsidRDefault="00386189" w:rsidP="00386189">
      <w:pPr>
        <w:pStyle w:val="ListParagraph"/>
        <w:numPr>
          <w:ilvl w:val="0"/>
          <w:numId w:val="33"/>
        </w:numPr>
        <w:rPr>
          <w:b/>
          <w:bCs/>
        </w:rPr>
      </w:pPr>
      <w:r w:rsidRPr="00386189">
        <w:rPr>
          <w:b/>
          <w:bCs/>
        </w:rPr>
        <w:t>Cases 5 with -22dBm at F</w:t>
      </w:r>
      <w:r w:rsidRPr="00386189">
        <w:rPr>
          <w:b/>
          <w:bCs/>
          <w:vertAlign w:val="subscript"/>
        </w:rPr>
        <w:t>DL_low</w:t>
      </w:r>
      <w:r w:rsidRPr="00386189">
        <w:rPr>
          <w:b/>
          <w:bCs/>
        </w:rPr>
        <w:t xml:space="preserve"> – 12 is introduced based on 7dB lower interference from DTT CH36 compared to n71 case</w:t>
      </w:r>
    </w:p>
    <w:p w14:paraId="468CE8F2" w14:textId="14DB4F73" w:rsidR="00386189" w:rsidRDefault="00386189" w:rsidP="00386189">
      <w:pPr>
        <w:pStyle w:val="ListParagraph"/>
        <w:numPr>
          <w:ilvl w:val="0"/>
          <w:numId w:val="33"/>
        </w:numPr>
        <w:rPr>
          <w:b/>
          <w:bCs/>
        </w:rPr>
      </w:pPr>
      <w:r>
        <w:rPr>
          <w:b/>
          <w:bCs/>
        </w:rPr>
        <w:t xml:space="preserve">To account for DTT interference to the </w:t>
      </w:r>
      <w:r w:rsidR="00931048">
        <w:rPr>
          <w:b/>
          <w:bCs/>
        </w:rPr>
        <w:t xml:space="preserve">first 5MHz, a relaxed -34dBm at </w:t>
      </w:r>
      <w:r w:rsidR="00931048" w:rsidRPr="00386189">
        <w:rPr>
          <w:b/>
          <w:bCs/>
        </w:rPr>
        <w:t>F</w:t>
      </w:r>
      <w:r w:rsidR="00931048" w:rsidRPr="00386189">
        <w:rPr>
          <w:b/>
          <w:bCs/>
          <w:vertAlign w:val="subscript"/>
        </w:rPr>
        <w:t>DL_low</w:t>
      </w:r>
      <w:r w:rsidR="00931048" w:rsidRPr="00386189">
        <w:rPr>
          <w:b/>
          <w:bCs/>
        </w:rPr>
        <w:t xml:space="preserve"> – </w:t>
      </w:r>
      <w:r w:rsidR="00931048">
        <w:rPr>
          <w:b/>
          <w:bCs/>
        </w:rPr>
        <w:t>7 is needed and since it is very close to the Case 1, instead of intr</w:t>
      </w:r>
      <w:r w:rsidR="0022468F">
        <w:rPr>
          <w:b/>
          <w:bCs/>
        </w:rPr>
        <w:t>o</w:t>
      </w:r>
      <w:r w:rsidR="00931048">
        <w:rPr>
          <w:b/>
          <w:bCs/>
        </w:rPr>
        <w:t>d</w:t>
      </w:r>
      <w:r w:rsidR="0022468F">
        <w:rPr>
          <w:b/>
          <w:bCs/>
        </w:rPr>
        <w:t>uc</w:t>
      </w:r>
      <w:r w:rsidR="00931048">
        <w:rPr>
          <w:b/>
          <w:bCs/>
        </w:rPr>
        <w:t xml:space="preserve">ing a case 6, a Case 1 exception is at -34dBm is introduced for channels </w:t>
      </w:r>
      <w:r w:rsidR="00931048" w:rsidRPr="00931048">
        <w:rPr>
          <w:b/>
          <w:bCs/>
        </w:rPr>
        <w:t>overlapping with the 612 to 617 MHz frequency range.</w:t>
      </w:r>
    </w:p>
    <w:p w14:paraId="18FC0979" w14:textId="50E8E54B" w:rsidR="00931048" w:rsidRDefault="00931048" w:rsidP="00386189">
      <w:pPr>
        <w:pStyle w:val="ListParagraph"/>
        <w:numPr>
          <w:ilvl w:val="0"/>
          <w:numId w:val="33"/>
        </w:numPr>
        <w:rPr>
          <w:b/>
          <w:bCs/>
        </w:rPr>
      </w:pPr>
      <w:r>
        <w:rPr>
          <w:b/>
          <w:bCs/>
        </w:rPr>
        <w:t>This is implemented in the specification as shown in Table 5.</w:t>
      </w:r>
    </w:p>
    <w:p w14:paraId="4470E708" w14:textId="65341C4B" w:rsidR="00931048" w:rsidRDefault="00931048" w:rsidP="00931048">
      <w:pPr>
        <w:pStyle w:val="Caption"/>
        <w:keepNext/>
        <w:jc w:val="center"/>
      </w:pPr>
      <w:r>
        <w:lastRenderedPageBreak/>
        <w:t xml:space="preserve">Table </w:t>
      </w:r>
      <w:r w:rsidR="0083541E">
        <w:fldChar w:fldCharType="begin"/>
      </w:r>
      <w:r w:rsidR="0083541E">
        <w:instrText xml:space="preserve"> SE</w:instrText>
      </w:r>
      <w:r w:rsidR="0083541E">
        <w:instrText xml:space="preserve">Q Table \* ARABIC </w:instrText>
      </w:r>
      <w:r w:rsidR="0083541E">
        <w:fldChar w:fldCharType="separate"/>
      </w:r>
      <w:r>
        <w:rPr>
          <w:noProof/>
        </w:rPr>
        <w:t>5</w:t>
      </w:r>
      <w:r w:rsidR="0083541E">
        <w:rPr>
          <w:noProof/>
        </w:rPr>
        <w:fldChar w:fldCharType="end"/>
      </w:r>
      <w:r>
        <w:t xml:space="preserve">: n105 specific </w:t>
      </w:r>
      <w:r w:rsidRPr="00A2217E">
        <w:rPr>
          <w:highlight w:val="yellow"/>
        </w:rPr>
        <w:t>case 1 and 4</w:t>
      </w:r>
      <w:r>
        <w:t xml:space="preserve"> in-band blocking</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1170"/>
        <w:gridCol w:w="720"/>
        <w:gridCol w:w="1167"/>
        <w:gridCol w:w="1489"/>
        <w:gridCol w:w="1260"/>
        <w:gridCol w:w="1320"/>
        <w:gridCol w:w="1470"/>
      </w:tblGrid>
      <w:tr w:rsidR="00931048" w:rsidRPr="00A1115A" w14:paraId="37A74628" w14:textId="77777777" w:rsidTr="00E92628">
        <w:trPr>
          <w:jc w:val="center"/>
        </w:trPr>
        <w:tc>
          <w:tcPr>
            <w:tcW w:w="977" w:type="dxa"/>
            <w:tcBorders>
              <w:bottom w:val="nil"/>
            </w:tcBorders>
            <w:shd w:val="clear" w:color="auto" w:fill="auto"/>
          </w:tcPr>
          <w:p w14:paraId="4B070862" w14:textId="77777777" w:rsidR="00931048" w:rsidRPr="00A1115A" w:rsidRDefault="00931048" w:rsidP="00E92628">
            <w:pPr>
              <w:pStyle w:val="TAH"/>
            </w:pPr>
            <w:bookmarkStart w:id="2" w:name="_Hlk115439406"/>
            <w:r w:rsidRPr="00A1115A">
              <w:t>NR band</w:t>
            </w:r>
          </w:p>
        </w:tc>
        <w:tc>
          <w:tcPr>
            <w:tcW w:w="1170" w:type="dxa"/>
            <w:shd w:val="clear" w:color="auto" w:fill="auto"/>
          </w:tcPr>
          <w:p w14:paraId="67D96899" w14:textId="77777777" w:rsidR="00931048" w:rsidRPr="00A1115A" w:rsidRDefault="00931048" w:rsidP="00E92628">
            <w:pPr>
              <w:pStyle w:val="TAH"/>
            </w:pPr>
            <w:r w:rsidRPr="00A1115A">
              <w:t>Parameter</w:t>
            </w:r>
          </w:p>
        </w:tc>
        <w:tc>
          <w:tcPr>
            <w:tcW w:w="720" w:type="dxa"/>
          </w:tcPr>
          <w:p w14:paraId="1A8E9CFC" w14:textId="77777777" w:rsidR="00931048" w:rsidRPr="00A1115A" w:rsidRDefault="00931048" w:rsidP="00E92628">
            <w:pPr>
              <w:pStyle w:val="TAH"/>
            </w:pPr>
            <w:r w:rsidRPr="00A1115A">
              <w:t>Unit</w:t>
            </w:r>
          </w:p>
        </w:tc>
        <w:tc>
          <w:tcPr>
            <w:tcW w:w="1167" w:type="dxa"/>
          </w:tcPr>
          <w:p w14:paraId="6C293C7F" w14:textId="77777777" w:rsidR="00931048" w:rsidRPr="00A1115A" w:rsidRDefault="00931048" w:rsidP="00E92628">
            <w:pPr>
              <w:pStyle w:val="TAH"/>
            </w:pPr>
            <w:r w:rsidRPr="00A1115A">
              <w:t>Case 1</w:t>
            </w:r>
          </w:p>
        </w:tc>
        <w:tc>
          <w:tcPr>
            <w:tcW w:w="1489" w:type="dxa"/>
          </w:tcPr>
          <w:p w14:paraId="0502C2E2" w14:textId="77777777" w:rsidR="00931048" w:rsidRPr="00A1115A" w:rsidRDefault="00931048" w:rsidP="00E92628">
            <w:pPr>
              <w:pStyle w:val="TAH"/>
            </w:pPr>
            <w:r w:rsidRPr="00A1115A">
              <w:t>Case 2</w:t>
            </w:r>
          </w:p>
        </w:tc>
        <w:tc>
          <w:tcPr>
            <w:tcW w:w="1260" w:type="dxa"/>
          </w:tcPr>
          <w:p w14:paraId="55FB1D8F" w14:textId="77777777" w:rsidR="00931048" w:rsidRPr="00A2217E" w:rsidRDefault="00931048" w:rsidP="00E92628">
            <w:pPr>
              <w:pStyle w:val="TAH"/>
            </w:pPr>
            <w:r w:rsidRPr="00A2217E">
              <w:t>Case 3</w:t>
            </w:r>
          </w:p>
        </w:tc>
        <w:tc>
          <w:tcPr>
            <w:tcW w:w="1320" w:type="dxa"/>
          </w:tcPr>
          <w:p w14:paraId="1DA9DF67" w14:textId="77777777" w:rsidR="00931048" w:rsidRPr="00A1115A" w:rsidRDefault="00931048" w:rsidP="00E92628">
            <w:pPr>
              <w:pStyle w:val="TAH"/>
            </w:pPr>
            <w:r w:rsidRPr="00A1115A">
              <w:t>Case 4</w:t>
            </w:r>
          </w:p>
        </w:tc>
        <w:tc>
          <w:tcPr>
            <w:tcW w:w="1470" w:type="dxa"/>
          </w:tcPr>
          <w:p w14:paraId="18EC2DD7" w14:textId="77777777" w:rsidR="00931048" w:rsidRPr="00A1115A" w:rsidRDefault="00931048" w:rsidP="00E92628">
            <w:pPr>
              <w:pStyle w:val="TAH"/>
            </w:pPr>
            <w:r w:rsidRPr="00A1115A">
              <w:t xml:space="preserve">Case </w:t>
            </w:r>
            <w:r>
              <w:t>5</w:t>
            </w:r>
          </w:p>
        </w:tc>
      </w:tr>
      <w:tr w:rsidR="00931048" w:rsidRPr="00A1115A" w14:paraId="2BB4EF49" w14:textId="77777777" w:rsidTr="00E92628">
        <w:trPr>
          <w:jc w:val="center"/>
        </w:trPr>
        <w:tc>
          <w:tcPr>
            <w:tcW w:w="977" w:type="dxa"/>
            <w:tcBorders>
              <w:top w:val="nil"/>
              <w:bottom w:val="nil"/>
            </w:tcBorders>
            <w:shd w:val="clear" w:color="auto" w:fill="auto"/>
          </w:tcPr>
          <w:p w14:paraId="273B3716" w14:textId="77777777" w:rsidR="00931048" w:rsidRPr="00A1115A" w:rsidRDefault="00931048" w:rsidP="00E92628">
            <w:pPr>
              <w:pStyle w:val="TAC"/>
              <w:jc w:val="left"/>
              <w:rPr>
                <w:lang w:val="sv-SE"/>
              </w:rPr>
            </w:pPr>
          </w:p>
        </w:tc>
        <w:tc>
          <w:tcPr>
            <w:tcW w:w="1170" w:type="dxa"/>
            <w:shd w:val="clear" w:color="auto" w:fill="auto"/>
          </w:tcPr>
          <w:p w14:paraId="25BD1691" w14:textId="77777777" w:rsidR="00931048" w:rsidRPr="00A1115A" w:rsidRDefault="00931048" w:rsidP="00E92628">
            <w:pPr>
              <w:pStyle w:val="TAL"/>
              <w:rPr>
                <w:lang w:val="sv-SE"/>
              </w:rPr>
            </w:pPr>
            <w:r w:rsidRPr="00A1115A">
              <w:rPr>
                <w:lang w:val="sv-SE"/>
              </w:rPr>
              <w:t>P</w:t>
            </w:r>
            <w:r w:rsidRPr="00A1115A">
              <w:rPr>
                <w:vertAlign w:val="subscript"/>
                <w:lang w:val="sv-SE"/>
              </w:rPr>
              <w:t>interferer</w:t>
            </w:r>
          </w:p>
        </w:tc>
        <w:tc>
          <w:tcPr>
            <w:tcW w:w="720" w:type="dxa"/>
          </w:tcPr>
          <w:p w14:paraId="62178EC4" w14:textId="77777777" w:rsidR="00931048" w:rsidRPr="00A1115A" w:rsidRDefault="00931048" w:rsidP="00E92628">
            <w:pPr>
              <w:pStyle w:val="TAC"/>
              <w:rPr>
                <w:lang w:val="sv-SE"/>
              </w:rPr>
            </w:pPr>
            <w:r w:rsidRPr="00A1115A">
              <w:rPr>
                <w:lang w:val="sv-SE"/>
              </w:rPr>
              <w:t>dBm</w:t>
            </w:r>
          </w:p>
        </w:tc>
        <w:tc>
          <w:tcPr>
            <w:tcW w:w="1167" w:type="dxa"/>
            <w:vAlign w:val="center"/>
          </w:tcPr>
          <w:p w14:paraId="3CCCEA17" w14:textId="77777777" w:rsidR="00931048" w:rsidRPr="00A1115A" w:rsidRDefault="00931048" w:rsidP="00E92628">
            <w:pPr>
              <w:pStyle w:val="TAC"/>
            </w:pPr>
            <w:r w:rsidRPr="00A1115A">
              <w:t>-56</w:t>
            </w:r>
          </w:p>
        </w:tc>
        <w:tc>
          <w:tcPr>
            <w:tcW w:w="1489" w:type="dxa"/>
          </w:tcPr>
          <w:p w14:paraId="1C3D5BFC" w14:textId="77777777" w:rsidR="00931048" w:rsidRPr="00A1115A" w:rsidRDefault="00931048" w:rsidP="00E92628">
            <w:pPr>
              <w:pStyle w:val="TAC"/>
            </w:pPr>
            <w:r w:rsidRPr="00A1115A">
              <w:t>-44</w:t>
            </w:r>
          </w:p>
        </w:tc>
        <w:tc>
          <w:tcPr>
            <w:tcW w:w="1260" w:type="dxa"/>
          </w:tcPr>
          <w:p w14:paraId="78FE8E09" w14:textId="77777777" w:rsidR="00931048" w:rsidRPr="00A2217E" w:rsidRDefault="00931048" w:rsidP="00E92628">
            <w:pPr>
              <w:pStyle w:val="TAC"/>
            </w:pPr>
            <w:r w:rsidRPr="00A2217E">
              <w:t>-15</w:t>
            </w:r>
          </w:p>
        </w:tc>
        <w:tc>
          <w:tcPr>
            <w:tcW w:w="1320" w:type="dxa"/>
          </w:tcPr>
          <w:p w14:paraId="589BF803" w14:textId="77777777" w:rsidR="00931048" w:rsidRPr="00A1115A" w:rsidRDefault="00931048" w:rsidP="00E92628">
            <w:pPr>
              <w:pStyle w:val="TAC"/>
            </w:pPr>
            <w:r w:rsidRPr="00A1115A">
              <w:t>-38</w:t>
            </w:r>
          </w:p>
        </w:tc>
        <w:tc>
          <w:tcPr>
            <w:tcW w:w="1470" w:type="dxa"/>
          </w:tcPr>
          <w:p w14:paraId="728677F5" w14:textId="77777777" w:rsidR="00931048" w:rsidRPr="00A1115A" w:rsidRDefault="00931048" w:rsidP="00E92628">
            <w:pPr>
              <w:pStyle w:val="TAC"/>
            </w:pPr>
            <w:r w:rsidRPr="00A2217E">
              <w:rPr>
                <w:highlight w:val="yellow"/>
              </w:rPr>
              <w:t>-22</w:t>
            </w:r>
          </w:p>
        </w:tc>
      </w:tr>
      <w:tr w:rsidR="00931048" w:rsidRPr="00A1115A" w14:paraId="5F1F3A4A" w14:textId="77777777" w:rsidTr="00E92628">
        <w:trPr>
          <w:jc w:val="center"/>
        </w:trPr>
        <w:tc>
          <w:tcPr>
            <w:tcW w:w="977" w:type="dxa"/>
          </w:tcPr>
          <w:p w14:paraId="574C91F8" w14:textId="77777777" w:rsidR="00931048" w:rsidRPr="00A1115A" w:rsidRDefault="00931048" w:rsidP="00E92628">
            <w:pPr>
              <w:pStyle w:val="TAL"/>
            </w:pPr>
            <w:r w:rsidRPr="00A1115A">
              <w:t>n71</w:t>
            </w:r>
          </w:p>
        </w:tc>
        <w:tc>
          <w:tcPr>
            <w:tcW w:w="1170" w:type="dxa"/>
            <w:shd w:val="clear" w:color="auto" w:fill="auto"/>
          </w:tcPr>
          <w:p w14:paraId="2F88B7C1" w14:textId="77777777" w:rsidR="00931048" w:rsidRPr="00A1115A" w:rsidRDefault="00931048" w:rsidP="00E92628">
            <w:pPr>
              <w:pStyle w:val="TAL"/>
              <w:rPr>
                <w:lang w:val="sv-SE"/>
              </w:rPr>
            </w:pPr>
            <w:r w:rsidRPr="00A1115A">
              <w:rPr>
                <w:lang w:val="sv-SE"/>
              </w:rPr>
              <w:t>F</w:t>
            </w:r>
            <w:r w:rsidRPr="00A1115A">
              <w:rPr>
                <w:vertAlign w:val="subscript"/>
                <w:lang w:val="sv-SE"/>
              </w:rPr>
              <w:t>interferer</w:t>
            </w:r>
          </w:p>
        </w:tc>
        <w:tc>
          <w:tcPr>
            <w:tcW w:w="720" w:type="dxa"/>
          </w:tcPr>
          <w:p w14:paraId="2AFE26BB" w14:textId="77777777" w:rsidR="00931048" w:rsidRPr="00A1115A" w:rsidRDefault="00931048" w:rsidP="00E92628">
            <w:pPr>
              <w:pStyle w:val="TAC"/>
              <w:rPr>
                <w:lang w:val="sv-SE"/>
              </w:rPr>
            </w:pPr>
            <w:r w:rsidRPr="00A1115A">
              <w:rPr>
                <w:lang w:val="sv-SE"/>
              </w:rPr>
              <w:t>MHz</w:t>
            </w:r>
          </w:p>
        </w:tc>
        <w:tc>
          <w:tcPr>
            <w:tcW w:w="1167" w:type="dxa"/>
          </w:tcPr>
          <w:p w14:paraId="73208F93" w14:textId="77777777" w:rsidR="00931048" w:rsidRPr="00A1115A" w:rsidRDefault="00931048" w:rsidP="00E92628">
            <w:pPr>
              <w:pStyle w:val="TAC"/>
            </w:pPr>
            <w:r w:rsidRPr="00A1115A">
              <w:t>NOTE 2</w:t>
            </w:r>
          </w:p>
        </w:tc>
        <w:tc>
          <w:tcPr>
            <w:tcW w:w="1489" w:type="dxa"/>
          </w:tcPr>
          <w:p w14:paraId="4330EAB8" w14:textId="77777777" w:rsidR="00931048" w:rsidRPr="00A1115A" w:rsidRDefault="00931048" w:rsidP="00E92628">
            <w:pPr>
              <w:pStyle w:val="TAC"/>
            </w:pPr>
            <w:r w:rsidRPr="00A1115A">
              <w:t>F</w:t>
            </w:r>
            <w:r w:rsidRPr="00A1115A">
              <w:rPr>
                <w:vertAlign w:val="subscript"/>
              </w:rPr>
              <w:t>DL_low</w:t>
            </w:r>
            <w:r w:rsidRPr="00A1115A">
              <w:t xml:space="preserve"> – 12 to F</w:t>
            </w:r>
            <w:r w:rsidRPr="00A1115A">
              <w:rPr>
                <w:vertAlign w:val="subscript"/>
              </w:rPr>
              <w:t>DL_high</w:t>
            </w:r>
            <w:r w:rsidRPr="00A1115A">
              <w:t xml:space="preserve"> + 15</w:t>
            </w:r>
          </w:p>
        </w:tc>
        <w:tc>
          <w:tcPr>
            <w:tcW w:w="1260" w:type="dxa"/>
          </w:tcPr>
          <w:p w14:paraId="46A97979" w14:textId="77777777" w:rsidR="00931048" w:rsidRPr="00A2217E" w:rsidRDefault="00931048" w:rsidP="00E92628">
            <w:pPr>
              <w:pStyle w:val="TAC"/>
            </w:pPr>
            <w:r w:rsidRPr="00A2217E">
              <w:t>F</w:t>
            </w:r>
            <w:r w:rsidRPr="00A2217E">
              <w:rPr>
                <w:vertAlign w:val="subscript"/>
              </w:rPr>
              <w:t>DL_low</w:t>
            </w:r>
            <w:r w:rsidRPr="00A2217E">
              <w:t xml:space="preserve"> – 12</w:t>
            </w:r>
          </w:p>
        </w:tc>
        <w:tc>
          <w:tcPr>
            <w:tcW w:w="1320" w:type="dxa"/>
          </w:tcPr>
          <w:p w14:paraId="6EA5EE9F" w14:textId="77777777" w:rsidR="00931048" w:rsidRPr="00A1115A" w:rsidRDefault="00931048" w:rsidP="00E92628">
            <w:pPr>
              <w:pStyle w:val="TAC"/>
            </w:pPr>
          </w:p>
        </w:tc>
        <w:tc>
          <w:tcPr>
            <w:tcW w:w="1470" w:type="dxa"/>
          </w:tcPr>
          <w:p w14:paraId="6EC03787" w14:textId="77777777" w:rsidR="00931048" w:rsidRPr="00A1115A" w:rsidRDefault="00931048" w:rsidP="00E92628">
            <w:pPr>
              <w:pStyle w:val="TAC"/>
            </w:pPr>
          </w:p>
        </w:tc>
      </w:tr>
      <w:tr w:rsidR="00931048" w:rsidRPr="00A1115A" w14:paraId="5FB2B934" w14:textId="77777777" w:rsidTr="00E92628">
        <w:trPr>
          <w:jc w:val="center"/>
        </w:trPr>
        <w:tc>
          <w:tcPr>
            <w:tcW w:w="977" w:type="dxa"/>
          </w:tcPr>
          <w:p w14:paraId="4C0C19A6" w14:textId="77777777" w:rsidR="00931048" w:rsidRPr="00A1115A" w:rsidRDefault="00931048" w:rsidP="00E92628">
            <w:pPr>
              <w:pStyle w:val="TAL"/>
            </w:pPr>
            <w:r>
              <w:t>n105</w:t>
            </w:r>
          </w:p>
        </w:tc>
        <w:tc>
          <w:tcPr>
            <w:tcW w:w="1170" w:type="dxa"/>
            <w:shd w:val="clear" w:color="auto" w:fill="auto"/>
          </w:tcPr>
          <w:p w14:paraId="0740DD4F" w14:textId="77777777" w:rsidR="00931048" w:rsidRPr="00A1115A" w:rsidRDefault="00931048" w:rsidP="00E92628">
            <w:pPr>
              <w:pStyle w:val="TAL"/>
              <w:rPr>
                <w:lang w:val="sv-SE"/>
              </w:rPr>
            </w:pPr>
            <w:r w:rsidRPr="00A1115A">
              <w:rPr>
                <w:lang w:val="sv-SE"/>
              </w:rPr>
              <w:t>F</w:t>
            </w:r>
            <w:r w:rsidRPr="00A1115A">
              <w:rPr>
                <w:vertAlign w:val="subscript"/>
                <w:lang w:val="sv-SE"/>
              </w:rPr>
              <w:t>interferer</w:t>
            </w:r>
          </w:p>
        </w:tc>
        <w:tc>
          <w:tcPr>
            <w:tcW w:w="720" w:type="dxa"/>
          </w:tcPr>
          <w:p w14:paraId="5E76D7AB" w14:textId="77777777" w:rsidR="00931048" w:rsidRPr="00A1115A" w:rsidRDefault="00931048" w:rsidP="00E92628">
            <w:pPr>
              <w:pStyle w:val="TAC"/>
              <w:rPr>
                <w:lang w:val="sv-SE"/>
              </w:rPr>
            </w:pPr>
            <w:r w:rsidRPr="00A1115A">
              <w:rPr>
                <w:lang w:val="sv-SE"/>
              </w:rPr>
              <w:t>MHz</w:t>
            </w:r>
          </w:p>
        </w:tc>
        <w:tc>
          <w:tcPr>
            <w:tcW w:w="1167" w:type="dxa"/>
          </w:tcPr>
          <w:p w14:paraId="103CAF43" w14:textId="77777777" w:rsidR="00931048" w:rsidRPr="00A1115A" w:rsidRDefault="00931048" w:rsidP="00E92628">
            <w:pPr>
              <w:pStyle w:val="TAC"/>
            </w:pPr>
            <w:r w:rsidRPr="00A1115A">
              <w:t xml:space="preserve">NOTE </w:t>
            </w:r>
            <w:r>
              <w:t xml:space="preserve">2, </w:t>
            </w:r>
            <w:r w:rsidRPr="00A2217E">
              <w:rPr>
                <w:highlight w:val="yellow"/>
              </w:rPr>
              <w:t>4</w:t>
            </w:r>
          </w:p>
        </w:tc>
        <w:tc>
          <w:tcPr>
            <w:tcW w:w="1489" w:type="dxa"/>
          </w:tcPr>
          <w:p w14:paraId="031C65A6" w14:textId="77777777" w:rsidR="00931048" w:rsidRPr="00A1115A" w:rsidRDefault="00931048" w:rsidP="00E92628">
            <w:pPr>
              <w:pStyle w:val="TAC"/>
            </w:pPr>
            <w:r w:rsidRPr="00A1115A">
              <w:t>F</w:t>
            </w:r>
            <w:r w:rsidRPr="00A1115A">
              <w:rPr>
                <w:vertAlign w:val="subscript"/>
              </w:rPr>
              <w:t>DL_low</w:t>
            </w:r>
            <w:r w:rsidRPr="00A1115A">
              <w:t xml:space="preserve"> – 12 to F</w:t>
            </w:r>
            <w:r w:rsidRPr="00A1115A">
              <w:rPr>
                <w:vertAlign w:val="subscript"/>
              </w:rPr>
              <w:t>DL_high</w:t>
            </w:r>
            <w:r w:rsidRPr="00A1115A">
              <w:t xml:space="preserve"> + 15</w:t>
            </w:r>
          </w:p>
        </w:tc>
        <w:tc>
          <w:tcPr>
            <w:tcW w:w="1260" w:type="dxa"/>
          </w:tcPr>
          <w:p w14:paraId="73744FA4" w14:textId="77777777" w:rsidR="00931048" w:rsidRPr="00B2761C" w:rsidRDefault="00931048" w:rsidP="00E92628">
            <w:pPr>
              <w:pStyle w:val="TAC"/>
              <w:rPr>
                <w:highlight w:val="yellow"/>
              </w:rPr>
            </w:pPr>
          </w:p>
        </w:tc>
        <w:tc>
          <w:tcPr>
            <w:tcW w:w="1320" w:type="dxa"/>
          </w:tcPr>
          <w:p w14:paraId="50204B94" w14:textId="77777777" w:rsidR="00931048" w:rsidRPr="00A1115A" w:rsidRDefault="00931048" w:rsidP="00E92628">
            <w:pPr>
              <w:pStyle w:val="TAC"/>
            </w:pPr>
          </w:p>
        </w:tc>
        <w:tc>
          <w:tcPr>
            <w:tcW w:w="1470" w:type="dxa"/>
          </w:tcPr>
          <w:p w14:paraId="0200470F" w14:textId="77777777" w:rsidR="00931048" w:rsidRPr="00A1115A" w:rsidRDefault="00931048" w:rsidP="00E92628">
            <w:pPr>
              <w:pStyle w:val="TAC"/>
            </w:pPr>
            <w:r w:rsidRPr="00B2761C">
              <w:rPr>
                <w:highlight w:val="yellow"/>
              </w:rPr>
              <w:t>F</w:t>
            </w:r>
            <w:r w:rsidRPr="00B2761C">
              <w:rPr>
                <w:highlight w:val="yellow"/>
                <w:vertAlign w:val="subscript"/>
              </w:rPr>
              <w:t>DL_low</w:t>
            </w:r>
            <w:r w:rsidRPr="00B2761C">
              <w:rPr>
                <w:highlight w:val="yellow"/>
              </w:rPr>
              <w:t xml:space="preserve"> – 12</w:t>
            </w:r>
          </w:p>
        </w:tc>
      </w:tr>
      <w:tr w:rsidR="00931048" w:rsidRPr="00A1115A" w14:paraId="20BF8C90" w14:textId="77777777" w:rsidTr="00E92628">
        <w:trPr>
          <w:jc w:val="center"/>
        </w:trPr>
        <w:tc>
          <w:tcPr>
            <w:tcW w:w="9573" w:type="dxa"/>
            <w:gridSpan w:val="8"/>
          </w:tcPr>
          <w:p w14:paraId="6677E6EB" w14:textId="77777777" w:rsidR="00931048" w:rsidRPr="00A1115A" w:rsidRDefault="00931048" w:rsidP="00E92628">
            <w:pPr>
              <w:pStyle w:val="TAN"/>
            </w:pPr>
            <w:r w:rsidRPr="00A1115A">
              <w:t>NOTE 1:</w:t>
            </w:r>
            <w:r w:rsidRPr="00A1115A">
              <w:tab/>
              <w:t xml:space="preserve">The absolute value of the interferer offset Finterferer (offset) shall be further adjusted to </w:t>
            </w:r>
            <w:r w:rsidRPr="00A1115A">
              <w:rPr>
                <w:rFonts w:eastAsia="Osaka"/>
              </w:rPr>
              <w:object w:dxaOrig="2659" w:dyaOrig="400" w14:anchorId="2257D5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25pt" o:ole="">
                  <v:imagedata r:id="rId9" o:title=""/>
                </v:shape>
                <o:OLEObject Type="Embed" ProgID="Equation.3" ShapeID="_x0000_i1025" DrawAspect="Content" ObjectID="_1726052532" r:id="rId10"/>
              </w:object>
            </w:r>
            <w:r w:rsidRPr="00A1115A">
              <w:t>MHz with SCS the sub-carrier spacing of the wanted signal in MHz. The interferer is an NR signal with 15 kHz SCS.</w:t>
            </w:r>
          </w:p>
          <w:p w14:paraId="20E2ACD9" w14:textId="77777777" w:rsidR="00931048" w:rsidRDefault="00931048" w:rsidP="00E92628">
            <w:pPr>
              <w:pStyle w:val="TAN"/>
              <w:rPr>
                <w:vertAlign w:val="subscript"/>
              </w:rPr>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14:paraId="330DD4C1" w14:textId="77777777" w:rsidR="00931048" w:rsidRDefault="00931048" w:rsidP="00E92628">
            <w:pPr>
              <w:pStyle w:val="TAN"/>
            </w:pPr>
            <w:r w:rsidRPr="00A1115A">
              <w:t>NOTE 3:</w:t>
            </w:r>
            <w:r w:rsidRPr="00A1115A">
              <w:tab/>
              <w:t>n48 follows the requirement in this frequency range according to the general requirement defined in Clause 7.1.</w:t>
            </w:r>
          </w:p>
          <w:p w14:paraId="34A7B460" w14:textId="54CF0850" w:rsidR="00931048" w:rsidRPr="00A1115A" w:rsidRDefault="00931048" w:rsidP="00E92628">
            <w:pPr>
              <w:pStyle w:val="TAN"/>
              <w:rPr>
                <w:vertAlign w:val="subscript"/>
              </w:rPr>
            </w:pPr>
            <w:r w:rsidRPr="00E94DF8">
              <w:rPr>
                <w:highlight w:val="yellow"/>
              </w:rPr>
              <w:t xml:space="preserve">NOTE 4: </w:t>
            </w:r>
            <w:r w:rsidR="00E94DF8">
              <w:rPr>
                <w:highlight w:val="yellow"/>
              </w:rPr>
              <w:t xml:space="preserve"> </w:t>
            </w:r>
            <w:r w:rsidR="00E94DF8">
              <w:rPr>
                <w:highlight w:val="yellow"/>
              </w:rPr>
              <w:t>For n105 channels overlapping the 612-617MHz frequency range, the Case1 a: -BW</w:t>
            </w:r>
            <w:r w:rsidR="00E94DF8">
              <w:rPr>
                <w:highlight w:val="yellow"/>
                <w:vertAlign w:val="subscript"/>
              </w:rPr>
              <w:t>Channel</w:t>
            </w:r>
            <w:r w:rsidR="00E94DF8">
              <w:rPr>
                <w:highlight w:val="yellow"/>
              </w:rPr>
              <w:t>/2 – F</w:t>
            </w:r>
            <w:r w:rsidR="00E94DF8">
              <w:rPr>
                <w:highlight w:val="yellow"/>
                <w:vertAlign w:val="subscript"/>
              </w:rPr>
              <w:t>Ioffset, case 1</w:t>
            </w:r>
            <w:r w:rsidR="00E94DF8">
              <w:rPr>
                <w:highlight w:val="yellow"/>
              </w:rPr>
              <w:t xml:space="preserve"> of NOTE 2 </w:t>
            </w:r>
            <w:r w:rsidR="00E94DF8">
              <w:rPr>
                <w:highlight w:val="yellow"/>
                <w:lang w:val="sv-SE"/>
              </w:rPr>
              <w:t>P</w:t>
            </w:r>
            <w:r w:rsidR="00E94DF8">
              <w:rPr>
                <w:highlight w:val="yellow"/>
                <w:vertAlign w:val="subscript"/>
                <w:lang w:val="sv-SE"/>
              </w:rPr>
              <w:t>interferer</w:t>
            </w:r>
            <w:r w:rsidR="00E94DF8">
              <w:rPr>
                <w:highlight w:val="yellow"/>
              </w:rPr>
              <w:t xml:space="preserve"> level is raised to [-34] dBm.</w:t>
            </w:r>
          </w:p>
        </w:tc>
      </w:tr>
    </w:tbl>
    <w:bookmarkEnd w:id="2"/>
    <w:p w14:paraId="7BE54F94" w14:textId="77777777" w:rsidR="00305289" w:rsidRPr="00396BC2" w:rsidRDefault="00305289" w:rsidP="00396BC2">
      <w:pPr>
        <w:pStyle w:val="Heading1"/>
        <w:tabs>
          <w:tab w:val="clear" w:pos="1152"/>
        </w:tabs>
        <w:ind w:left="450"/>
        <w:jc w:val="both"/>
        <w:rPr>
          <w:rFonts w:eastAsia="SimSun"/>
          <w:lang w:eastAsia="zh-CN"/>
        </w:rPr>
      </w:pPr>
      <w:r w:rsidRPr="00396BC2">
        <w:rPr>
          <w:rFonts w:eastAsia="SimSun"/>
          <w:lang w:eastAsia="zh-CN"/>
        </w:rPr>
        <w:t>Conclusions</w:t>
      </w:r>
    </w:p>
    <w:p w14:paraId="2D4E1CE9" w14:textId="6C5A16BC" w:rsidR="006B1FD0" w:rsidRDefault="00305289" w:rsidP="00494D5C">
      <w:pPr>
        <w:spacing w:after="0"/>
        <w:jc w:val="both"/>
      </w:pPr>
      <w:r>
        <w:t xml:space="preserve">In this contribution, </w:t>
      </w:r>
      <w:r w:rsidR="000A5C60">
        <w:t xml:space="preserve">we </w:t>
      </w:r>
      <w:r w:rsidR="00494D5C">
        <w:t xml:space="preserve">have further analyzed the REFSENS requirement for n105 to account for a lower UL interference than n71 and also studied the DTT blocking requirement </w:t>
      </w:r>
      <w:r w:rsidR="00EB341F">
        <w:t>to</w:t>
      </w:r>
      <w:r w:rsidR="00C5731A">
        <w:t xml:space="preserve"> formulate the following proposal.</w:t>
      </w:r>
    </w:p>
    <w:p w14:paraId="1FE30780" w14:textId="77777777" w:rsidR="00FB52C7" w:rsidRDefault="00FB52C7" w:rsidP="00EB341F">
      <w:pPr>
        <w:spacing w:after="0"/>
        <w:rPr>
          <w:b/>
          <w:bCs/>
          <w:lang w:eastAsia="zh-CN"/>
        </w:rPr>
      </w:pPr>
    </w:p>
    <w:p w14:paraId="327868FB" w14:textId="77777777" w:rsidR="0022468F" w:rsidRPr="00845F80" w:rsidRDefault="0022468F" w:rsidP="0022468F">
      <w:pPr>
        <w:spacing w:after="0"/>
        <w:rPr>
          <w:b/>
          <w:bCs/>
          <w:lang w:eastAsia="zh-CN"/>
        </w:rPr>
      </w:pPr>
      <w:r w:rsidRPr="00845F80">
        <w:rPr>
          <w:b/>
          <w:bCs/>
          <w:lang w:eastAsia="zh-CN"/>
        </w:rPr>
        <w:t xml:space="preserve">Proposal for </w:t>
      </w:r>
      <w:r>
        <w:rPr>
          <w:b/>
          <w:bCs/>
          <w:lang w:eastAsia="zh-CN"/>
        </w:rPr>
        <w:t xml:space="preserve">n105 </w:t>
      </w:r>
      <w:r w:rsidRPr="00845F80">
        <w:rPr>
          <w:b/>
          <w:bCs/>
          <w:lang w:eastAsia="zh-CN"/>
        </w:rPr>
        <w:t>REFSENS:</w:t>
      </w:r>
    </w:p>
    <w:p w14:paraId="50602147" w14:textId="77777777" w:rsidR="0022468F" w:rsidRPr="00845F80" w:rsidRDefault="0022468F" w:rsidP="0022468F">
      <w:pPr>
        <w:pStyle w:val="ListParagraph"/>
        <w:numPr>
          <w:ilvl w:val="0"/>
          <w:numId w:val="40"/>
        </w:numPr>
        <w:spacing w:after="0"/>
        <w:rPr>
          <w:b/>
          <w:bCs/>
          <w:lang w:eastAsia="zh-CN"/>
        </w:rPr>
      </w:pPr>
      <w:r>
        <w:rPr>
          <w:b/>
          <w:bCs/>
          <w:lang w:eastAsia="zh-CN"/>
        </w:rPr>
        <w:t>Co-banding of n71 and n105 is supported</w:t>
      </w:r>
    </w:p>
    <w:p w14:paraId="12E96E32" w14:textId="77777777" w:rsidR="0022468F" w:rsidRDefault="0022468F" w:rsidP="0022468F">
      <w:pPr>
        <w:pStyle w:val="ListParagraph"/>
        <w:numPr>
          <w:ilvl w:val="0"/>
          <w:numId w:val="40"/>
        </w:numPr>
        <w:spacing w:after="0"/>
        <w:rPr>
          <w:b/>
          <w:bCs/>
          <w:lang w:eastAsia="zh-CN"/>
        </w:rPr>
      </w:pPr>
      <w:r>
        <w:rPr>
          <w:b/>
          <w:bCs/>
          <w:lang w:eastAsia="zh-CN"/>
        </w:rPr>
        <w:t xml:space="preserve">The REFSENS uses n71 REFSENS for 5, 10 and 15MHz with a relaxation of 0.5dB for the channels overlapping the 612 to 617MHz frequency range. </w:t>
      </w:r>
    </w:p>
    <w:p w14:paraId="20353FFE" w14:textId="77777777" w:rsidR="0022468F" w:rsidRDefault="0022468F" w:rsidP="0022468F">
      <w:pPr>
        <w:pStyle w:val="ListParagraph"/>
        <w:numPr>
          <w:ilvl w:val="0"/>
          <w:numId w:val="40"/>
        </w:numPr>
        <w:spacing w:after="0"/>
        <w:rPr>
          <w:b/>
          <w:bCs/>
          <w:lang w:eastAsia="zh-CN"/>
        </w:rPr>
      </w:pPr>
      <w:r>
        <w:rPr>
          <w:b/>
          <w:bCs/>
          <w:lang w:eastAsia="zh-CN"/>
        </w:rPr>
        <w:t>The 15MHz channel gets a small correction to account for lower IMD7 impact</w:t>
      </w:r>
    </w:p>
    <w:p w14:paraId="35E4C638" w14:textId="77777777" w:rsidR="0022468F" w:rsidRDefault="0022468F" w:rsidP="0022468F">
      <w:pPr>
        <w:pStyle w:val="ListParagraph"/>
        <w:numPr>
          <w:ilvl w:val="0"/>
          <w:numId w:val="40"/>
        </w:numPr>
        <w:spacing w:after="0"/>
        <w:rPr>
          <w:b/>
          <w:bCs/>
          <w:lang w:eastAsia="zh-CN"/>
        </w:rPr>
      </w:pPr>
      <w:r>
        <w:rPr>
          <w:b/>
          <w:bCs/>
          <w:lang w:eastAsia="zh-CN"/>
        </w:rPr>
        <w:t xml:space="preserve">The 20/25/30/35 MHz are corrected for lower IMD5 impact according to calculations </w:t>
      </w:r>
    </w:p>
    <w:p w14:paraId="24952F1B" w14:textId="77777777" w:rsidR="0022468F" w:rsidRDefault="0022468F" w:rsidP="0022468F">
      <w:pPr>
        <w:pStyle w:val="ListParagraph"/>
        <w:numPr>
          <w:ilvl w:val="0"/>
          <w:numId w:val="40"/>
        </w:numPr>
        <w:spacing w:after="0"/>
        <w:rPr>
          <w:b/>
          <w:bCs/>
          <w:lang w:eastAsia="zh-CN"/>
        </w:rPr>
      </w:pPr>
      <w:r>
        <w:rPr>
          <w:b/>
          <w:bCs/>
          <w:lang w:eastAsia="zh-CN"/>
        </w:rPr>
        <w:t>The channels affected by IMD use tentative values to allow confirmation by measurements.</w:t>
      </w:r>
    </w:p>
    <w:p w14:paraId="0A3CF3B5" w14:textId="77777777" w:rsidR="0022468F" w:rsidRPr="00845F80" w:rsidRDefault="0022468F" w:rsidP="0022468F">
      <w:pPr>
        <w:pStyle w:val="ListParagraph"/>
        <w:numPr>
          <w:ilvl w:val="0"/>
          <w:numId w:val="40"/>
        </w:numPr>
        <w:spacing w:after="0"/>
        <w:rPr>
          <w:b/>
          <w:bCs/>
          <w:lang w:eastAsia="zh-CN"/>
        </w:rPr>
      </w:pPr>
      <w:r>
        <w:rPr>
          <w:b/>
          <w:bCs/>
          <w:lang w:eastAsia="zh-CN"/>
        </w:rPr>
        <w:t>This is implemented in the specification as shown in Tables 3 and 4.</w:t>
      </w:r>
    </w:p>
    <w:p w14:paraId="5F5E1283" w14:textId="77777777" w:rsidR="0022468F" w:rsidRDefault="0022468F" w:rsidP="0022468F">
      <w:pPr>
        <w:pStyle w:val="Caption"/>
        <w:keepNext/>
        <w:jc w:val="center"/>
      </w:pPr>
      <w:r>
        <w:t xml:space="preserve">Table </w:t>
      </w:r>
      <w:fldSimple w:instr=" SEQ Table \* ARABIC ">
        <w:r>
          <w:rPr>
            <w:noProof/>
          </w:rPr>
          <w:t>3</w:t>
        </w:r>
      </w:fldSimple>
      <w:r>
        <w:t>:</w:t>
      </w:r>
      <w:r w:rsidRPr="00494D5C">
        <w:rPr>
          <w:bCs/>
        </w:rPr>
        <w:t xml:space="preserve"> </w:t>
      </w:r>
      <w:r w:rsidRPr="00D20DEA">
        <w:rPr>
          <w:bCs/>
        </w:rPr>
        <w:t xml:space="preserve">REFSENS level for </w:t>
      </w:r>
      <w:r>
        <w:rPr>
          <w:bCs/>
        </w:rPr>
        <w:t>n105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615"/>
        <w:gridCol w:w="807"/>
        <w:gridCol w:w="754"/>
        <w:gridCol w:w="887"/>
        <w:gridCol w:w="847"/>
        <w:gridCol w:w="847"/>
        <w:gridCol w:w="831"/>
        <w:gridCol w:w="808"/>
        <w:gridCol w:w="8"/>
      </w:tblGrid>
      <w:tr w:rsidR="0022468F" w:rsidRPr="00D20DEA" w14:paraId="0AC51977" w14:textId="77777777" w:rsidTr="00F005B7">
        <w:trPr>
          <w:trHeight w:val="187"/>
          <w:tblHeader/>
          <w:jc w:val="center"/>
        </w:trPr>
        <w:tc>
          <w:tcPr>
            <w:tcW w:w="7533" w:type="dxa"/>
            <w:gridSpan w:val="10"/>
            <w:tcBorders>
              <w:bottom w:val="single" w:sz="4" w:space="0" w:color="auto"/>
            </w:tcBorders>
            <w:shd w:val="clear" w:color="auto" w:fill="auto"/>
            <w:vAlign w:val="center"/>
          </w:tcPr>
          <w:p w14:paraId="36F9086D" w14:textId="77777777" w:rsidR="0022468F" w:rsidRPr="00D20DEA" w:rsidRDefault="0022468F" w:rsidP="00F005B7">
            <w:pPr>
              <w:pStyle w:val="TAH"/>
              <w:rPr>
                <w:rFonts w:eastAsia="PMingLiU"/>
                <w:bCs/>
              </w:rPr>
            </w:pPr>
            <w:r w:rsidRPr="00D20DEA">
              <w:rPr>
                <w:rFonts w:eastAsia="PMingLiU"/>
                <w:bCs/>
              </w:rPr>
              <w:t>Operating band / SCS / Channel bandwidth</w:t>
            </w:r>
          </w:p>
        </w:tc>
      </w:tr>
      <w:tr w:rsidR="0022468F" w:rsidRPr="00D20DEA" w14:paraId="79202813" w14:textId="77777777" w:rsidTr="00F005B7">
        <w:trPr>
          <w:gridAfter w:val="1"/>
          <w:wAfter w:w="8" w:type="dxa"/>
          <w:trHeight w:val="187"/>
          <w:tblHeader/>
          <w:jc w:val="center"/>
        </w:trPr>
        <w:tc>
          <w:tcPr>
            <w:tcW w:w="1129" w:type="dxa"/>
            <w:tcBorders>
              <w:bottom w:val="single" w:sz="4" w:space="0" w:color="auto"/>
            </w:tcBorders>
            <w:shd w:val="clear" w:color="auto" w:fill="auto"/>
            <w:vAlign w:val="center"/>
          </w:tcPr>
          <w:p w14:paraId="466E91DE" w14:textId="77777777" w:rsidR="0022468F" w:rsidRPr="00D20DEA" w:rsidRDefault="0022468F" w:rsidP="00F005B7">
            <w:pPr>
              <w:pStyle w:val="TAH"/>
              <w:rPr>
                <w:rFonts w:eastAsia="PMingLiU"/>
                <w:bCs/>
              </w:rPr>
            </w:pPr>
            <w:r w:rsidRPr="00D20DEA">
              <w:rPr>
                <w:rFonts w:eastAsia="PMingLiU"/>
                <w:bCs/>
              </w:rPr>
              <w:t>Operating Band</w:t>
            </w:r>
          </w:p>
        </w:tc>
        <w:tc>
          <w:tcPr>
            <w:tcW w:w="615" w:type="dxa"/>
            <w:vAlign w:val="center"/>
          </w:tcPr>
          <w:p w14:paraId="1ADECEDD" w14:textId="77777777" w:rsidR="0022468F" w:rsidRPr="00D20DEA" w:rsidRDefault="0022468F" w:rsidP="00F005B7">
            <w:pPr>
              <w:pStyle w:val="TAH"/>
              <w:rPr>
                <w:rFonts w:eastAsia="PMingLiU"/>
                <w:bCs/>
              </w:rPr>
            </w:pPr>
            <w:r w:rsidRPr="00D20DEA">
              <w:rPr>
                <w:rFonts w:eastAsia="PMingLiU"/>
                <w:bCs/>
              </w:rPr>
              <w:t>SCS kHz</w:t>
            </w:r>
          </w:p>
        </w:tc>
        <w:tc>
          <w:tcPr>
            <w:tcW w:w="807" w:type="dxa"/>
            <w:shd w:val="clear" w:color="auto" w:fill="auto"/>
            <w:vAlign w:val="center"/>
          </w:tcPr>
          <w:p w14:paraId="70B2A642" w14:textId="77777777" w:rsidR="0022468F" w:rsidRPr="00D20DEA" w:rsidRDefault="0022468F" w:rsidP="00F005B7">
            <w:pPr>
              <w:pStyle w:val="TAH"/>
              <w:rPr>
                <w:rFonts w:eastAsia="PMingLiU"/>
                <w:bCs/>
              </w:rPr>
            </w:pPr>
            <w:r w:rsidRPr="00D20DEA">
              <w:rPr>
                <w:rFonts w:eastAsia="PMingLiU"/>
                <w:bCs/>
              </w:rPr>
              <w:t>5</w:t>
            </w:r>
          </w:p>
          <w:p w14:paraId="10A1381A" w14:textId="77777777" w:rsidR="0022468F" w:rsidRPr="00D20DEA" w:rsidRDefault="0022468F" w:rsidP="00F005B7">
            <w:pPr>
              <w:pStyle w:val="TAH"/>
              <w:rPr>
                <w:rFonts w:eastAsia="PMingLiU"/>
                <w:bCs/>
              </w:rPr>
            </w:pPr>
            <w:r w:rsidRPr="00D20DEA">
              <w:rPr>
                <w:rFonts w:eastAsia="PMingLiU"/>
                <w:bCs/>
              </w:rPr>
              <w:t>MHz</w:t>
            </w:r>
            <w:r w:rsidRPr="00D20DEA">
              <w:rPr>
                <w:rFonts w:eastAsia="PMingLiU"/>
                <w:bCs/>
              </w:rPr>
              <w:br/>
              <w:t>(dBm)</w:t>
            </w:r>
          </w:p>
        </w:tc>
        <w:tc>
          <w:tcPr>
            <w:tcW w:w="754" w:type="dxa"/>
            <w:shd w:val="clear" w:color="auto" w:fill="auto"/>
            <w:vAlign w:val="center"/>
          </w:tcPr>
          <w:p w14:paraId="13F1F652" w14:textId="77777777" w:rsidR="0022468F" w:rsidRPr="00D20DEA" w:rsidRDefault="0022468F" w:rsidP="00F005B7">
            <w:pPr>
              <w:pStyle w:val="TAH"/>
              <w:rPr>
                <w:rFonts w:eastAsia="PMingLiU"/>
                <w:bCs/>
              </w:rPr>
            </w:pPr>
            <w:r w:rsidRPr="00D20DEA">
              <w:rPr>
                <w:rFonts w:eastAsia="PMingLiU"/>
                <w:bCs/>
              </w:rPr>
              <w:t>10</w:t>
            </w:r>
          </w:p>
          <w:p w14:paraId="44835618" w14:textId="77777777" w:rsidR="0022468F" w:rsidRPr="00D20DEA" w:rsidRDefault="0022468F" w:rsidP="00F005B7">
            <w:pPr>
              <w:pStyle w:val="TAH"/>
              <w:rPr>
                <w:rFonts w:eastAsia="PMingLiU"/>
                <w:bCs/>
              </w:rPr>
            </w:pPr>
            <w:r w:rsidRPr="00D20DEA">
              <w:rPr>
                <w:rFonts w:eastAsia="PMingLiU"/>
                <w:bCs/>
              </w:rPr>
              <w:t>MHz</w:t>
            </w:r>
            <w:r w:rsidRPr="00D20DEA">
              <w:rPr>
                <w:rFonts w:eastAsia="PMingLiU"/>
                <w:bCs/>
              </w:rPr>
              <w:br/>
              <w:t>(dBm)</w:t>
            </w:r>
          </w:p>
        </w:tc>
        <w:tc>
          <w:tcPr>
            <w:tcW w:w="887" w:type="dxa"/>
            <w:shd w:val="clear" w:color="auto" w:fill="auto"/>
            <w:vAlign w:val="center"/>
          </w:tcPr>
          <w:p w14:paraId="7D8ABA4C" w14:textId="77777777" w:rsidR="0022468F" w:rsidRPr="00D20DEA" w:rsidRDefault="0022468F" w:rsidP="00F005B7">
            <w:pPr>
              <w:pStyle w:val="TAH"/>
              <w:rPr>
                <w:rFonts w:eastAsia="PMingLiU"/>
                <w:bCs/>
              </w:rPr>
            </w:pPr>
            <w:r w:rsidRPr="00D20DEA">
              <w:rPr>
                <w:rFonts w:eastAsia="PMingLiU"/>
                <w:bCs/>
              </w:rPr>
              <w:t>15</w:t>
            </w:r>
          </w:p>
          <w:p w14:paraId="4E19DECF" w14:textId="77777777" w:rsidR="0022468F" w:rsidRPr="00D20DEA" w:rsidRDefault="0022468F" w:rsidP="00F005B7">
            <w:pPr>
              <w:pStyle w:val="TAH"/>
              <w:rPr>
                <w:rFonts w:eastAsia="PMingLiU"/>
                <w:bCs/>
              </w:rPr>
            </w:pPr>
            <w:r w:rsidRPr="00D20DEA">
              <w:rPr>
                <w:rFonts w:eastAsia="PMingLiU"/>
                <w:bCs/>
              </w:rPr>
              <w:t>MHz</w:t>
            </w:r>
            <w:r w:rsidRPr="00D20DEA">
              <w:rPr>
                <w:rFonts w:eastAsia="PMingLiU"/>
                <w:bCs/>
              </w:rPr>
              <w:br/>
              <w:t>(dBm)</w:t>
            </w:r>
          </w:p>
        </w:tc>
        <w:tc>
          <w:tcPr>
            <w:tcW w:w="847" w:type="dxa"/>
            <w:shd w:val="clear" w:color="auto" w:fill="auto"/>
            <w:vAlign w:val="center"/>
          </w:tcPr>
          <w:p w14:paraId="518585F0" w14:textId="77777777" w:rsidR="0022468F" w:rsidRPr="00D20DEA" w:rsidRDefault="0022468F" w:rsidP="00F005B7">
            <w:pPr>
              <w:pStyle w:val="TAH"/>
              <w:rPr>
                <w:rFonts w:eastAsia="PMingLiU"/>
                <w:bCs/>
              </w:rPr>
            </w:pPr>
            <w:r w:rsidRPr="00D20DEA">
              <w:rPr>
                <w:rFonts w:eastAsia="PMingLiU"/>
                <w:bCs/>
              </w:rPr>
              <w:t>20</w:t>
            </w:r>
          </w:p>
          <w:p w14:paraId="0A7020C2" w14:textId="77777777" w:rsidR="0022468F" w:rsidRPr="00D20DEA" w:rsidRDefault="0022468F" w:rsidP="00F005B7">
            <w:pPr>
              <w:pStyle w:val="TAH"/>
              <w:rPr>
                <w:rFonts w:eastAsia="PMingLiU"/>
                <w:bCs/>
              </w:rPr>
            </w:pPr>
            <w:r w:rsidRPr="00D20DEA">
              <w:rPr>
                <w:rFonts w:eastAsia="PMingLiU"/>
                <w:bCs/>
              </w:rPr>
              <w:t>MHz</w:t>
            </w:r>
            <w:r w:rsidRPr="00D20DEA">
              <w:rPr>
                <w:rFonts w:eastAsia="PMingLiU"/>
                <w:bCs/>
              </w:rPr>
              <w:br/>
              <w:t>(dBm)</w:t>
            </w:r>
          </w:p>
        </w:tc>
        <w:tc>
          <w:tcPr>
            <w:tcW w:w="847" w:type="dxa"/>
            <w:shd w:val="clear" w:color="auto" w:fill="auto"/>
            <w:vAlign w:val="center"/>
          </w:tcPr>
          <w:p w14:paraId="0AA55A6B" w14:textId="77777777" w:rsidR="0022468F" w:rsidRPr="00D20DEA" w:rsidRDefault="0022468F" w:rsidP="00F005B7">
            <w:pPr>
              <w:pStyle w:val="TAH"/>
              <w:rPr>
                <w:rFonts w:eastAsia="PMingLiU"/>
                <w:bCs/>
              </w:rPr>
            </w:pPr>
            <w:r w:rsidRPr="00D20DEA">
              <w:rPr>
                <w:rFonts w:eastAsia="PMingLiU"/>
                <w:bCs/>
              </w:rPr>
              <w:t>25</w:t>
            </w:r>
          </w:p>
          <w:p w14:paraId="048A673C" w14:textId="77777777" w:rsidR="0022468F" w:rsidRPr="00D20DEA" w:rsidRDefault="0022468F" w:rsidP="00F005B7">
            <w:pPr>
              <w:pStyle w:val="TAH"/>
              <w:rPr>
                <w:rFonts w:eastAsia="PMingLiU"/>
                <w:bCs/>
              </w:rPr>
            </w:pPr>
            <w:r w:rsidRPr="00D20DEA">
              <w:rPr>
                <w:rFonts w:eastAsia="PMingLiU"/>
                <w:bCs/>
              </w:rPr>
              <w:t>MHz</w:t>
            </w:r>
            <w:r w:rsidRPr="00D20DEA">
              <w:rPr>
                <w:rFonts w:eastAsia="PMingLiU"/>
                <w:bCs/>
              </w:rPr>
              <w:br/>
              <w:t>(dBm)</w:t>
            </w:r>
          </w:p>
        </w:tc>
        <w:tc>
          <w:tcPr>
            <w:tcW w:w="831" w:type="dxa"/>
            <w:vAlign w:val="center"/>
          </w:tcPr>
          <w:p w14:paraId="4CA70A4A" w14:textId="77777777" w:rsidR="0022468F" w:rsidRPr="00D20DEA" w:rsidRDefault="0022468F" w:rsidP="00F005B7">
            <w:pPr>
              <w:pStyle w:val="TAH"/>
              <w:rPr>
                <w:rFonts w:eastAsia="PMingLiU"/>
                <w:bCs/>
              </w:rPr>
            </w:pPr>
            <w:r w:rsidRPr="00D20DEA">
              <w:rPr>
                <w:rFonts w:eastAsia="PMingLiU"/>
                <w:bCs/>
              </w:rPr>
              <w:t>30 MHz (dBm)</w:t>
            </w:r>
          </w:p>
        </w:tc>
        <w:tc>
          <w:tcPr>
            <w:tcW w:w="808" w:type="dxa"/>
            <w:vAlign w:val="center"/>
          </w:tcPr>
          <w:p w14:paraId="3F429A24" w14:textId="77777777" w:rsidR="0022468F" w:rsidRPr="00D20DEA" w:rsidRDefault="0022468F" w:rsidP="00F005B7">
            <w:pPr>
              <w:pStyle w:val="TAH"/>
              <w:rPr>
                <w:rFonts w:eastAsia="PMingLiU"/>
                <w:bCs/>
              </w:rPr>
            </w:pPr>
            <w:r w:rsidRPr="00D20DEA">
              <w:rPr>
                <w:rFonts w:eastAsia="PMingLiU"/>
                <w:bCs/>
              </w:rPr>
              <w:t>35 MHz (dBm)</w:t>
            </w:r>
          </w:p>
        </w:tc>
      </w:tr>
      <w:tr w:rsidR="0022468F" w:rsidRPr="00D20DEA" w14:paraId="064CE5D0" w14:textId="77777777" w:rsidTr="00F005B7">
        <w:trPr>
          <w:gridAfter w:val="1"/>
          <w:wAfter w:w="8" w:type="dxa"/>
          <w:trHeight w:val="187"/>
          <w:jc w:val="center"/>
        </w:trPr>
        <w:tc>
          <w:tcPr>
            <w:tcW w:w="1129" w:type="dxa"/>
            <w:vMerge w:val="restart"/>
            <w:shd w:val="clear" w:color="auto" w:fill="auto"/>
            <w:vAlign w:val="center"/>
          </w:tcPr>
          <w:p w14:paraId="61AE484D" w14:textId="77777777" w:rsidR="0022468F" w:rsidRPr="00801C68" w:rsidRDefault="0022468F" w:rsidP="00F005B7">
            <w:pPr>
              <w:pStyle w:val="TAC"/>
              <w:rPr>
                <w:rFonts w:eastAsia="PMingLiU"/>
              </w:rPr>
            </w:pPr>
            <w:r w:rsidRPr="00801C68">
              <w:rPr>
                <w:rFonts w:eastAsia="PMingLiU"/>
              </w:rPr>
              <w:t>n105</w:t>
            </w:r>
          </w:p>
        </w:tc>
        <w:tc>
          <w:tcPr>
            <w:tcW w:w="615" w:type="dxa"/>
            <w:tcBorders>
              <w:top w:val="single" w:sz="4" w:space="0" w:color="auto"/>
              <w:left w:val="single" w:sz="4" w:space="0" w:color="auto"/>
              <w:bottom w:val="single" w:sz="4" w:space="0" w:color="auto"/>
              <w:right w:val="single" w:sz="4" w:space="0" w:color="auto"/>
            </w:tcBorders>
          </w:tcPr>
          <w:p w14:paraId="7618A549" w14:textId="77777777" w:rsidR="0022468F" w:rsidRPr="00801C68" w:rsidRDefault="0022468F" w:rsidP="00F005B7">
            <w:pPr>
              <w:pStyle w:val="TAC"/>
              <w:rPr>
                <w:rFonts w:eastAsia="PMingLiU"/>
              </w:rPr>
            </w:pPr>
            <w:r w:rsidRPr="00801C68">
              <w:rPr>
                <w:rFonts w:eastAsia="PMingLiU"/>
              </w:rPr>
              <w:t>15</w:t>
            </w:r>
          </w:p>
        </w:tc>
        <w:tc>
          <w:tcPr>
            <w:tcW w:w="807" w:type="dxa"/>
            <w:tcBorders>
              <w:top w:val="single" w:sz="4" w:space="0" w:color="auto"/>
              <w:left w:val="single" w:sz="4" w:space="0" w:color="auto"/>
              <w:bottom w:val="single" w:sz="4" w:space="0" w:color="auto"/>
              <w:right w:val="single" w:sz="4" w:space="0" w:color="auto"/>
            </w:tcBorders>
          </w:tcPr>
          <w:p w14:paraId="2A89D044" w14:textId="77777777" w:rsidR="0022468F" w:rsidRPr="00801C68" w:rsidRDefault="0022468F" w:rsidP="00F005B7">
            <w:pPr>
              <w:pStyle w:val="TAC"/>
              <w:rPr>
                <w:rFonts w:eastAsia="PMingLiU"/>
              </w:rPr>
            </w:pPr>
            <w:r w:rsidRPr="00801C68">
              <w:rPr>
                <w:rFonts w:eastAsia="PMingLiU"/>
              </w:rPr>
              <w:t>-97.2</w:t>
            </w:r>
            <w:r w:rsidRPr="00801C68">
              <w:rPr>
                <w:rFonts w:eastAsia="PMingLiU"/>
                <w:vertAlign w:val="superscript"/>
              </w:rPr>
              <w:t>X</w:t>
            </w:r>
          </w:p>
        </w:tc>
        <w:tc>
          <w:tcPr>
            <w:tcW w:w="754" w:type="dxa"/>
            <w:tcBorders>
              <w:top w:val="single" w:sz="4" w:space="0" w:color="auto"/>
              <w:left w:val="single" w:sz="4" w:space="0" w:color="auto"/>
              <w:bottom w:val="single" w:sz="4" w:space="0" w:color="auto"/>
              <w:right w:val="single" w:sz="4" w:space="0" w:color="auto"/>
            </w:tcBorders>
          </w:tcPr>
          <w:p w14:paraId="0407862A" w14:textId="77777777" w:rsidR="0022468F" w:rsidRPr="00801C68" w:rsidRDefault="0022468F" w:rsidP="00F005B7">
            <w:pPr>
              <w:pStyle w:val="TAC"/>
              <w:rPr>
                <w:rFonts w:eastAsia="PMingLiU"/>
              </w:rPr>
            </w:pPr>
            <w:r w:rsidRPr="00801C68">
              <w:rPr>
                <w:rFonts w:eastAsia="PMingLiU"/>
              </w:rPr>
              <w:t>-94.0</w:t>
            </w:r>
            <w:r w:rsidRPr="00801C68">
              <w:rPr>
                <w:rFonts w:eastAsia="PMingLiU"/>
                <w:vertAlign w:val="superscript"/>
              </w:rPr>
              <w:t>x</w:t>
            </w:r>
          </w:p>
        </w:tc>
        <w:tc>
          <w:tcPr>
            <w:tcW w:w="887" w:type="dxa"/>
            <w:tcBorders>
              <w:top w:val="single" w:sz="4" w:space="0" w:color="auto"/>
              <w:left w:val="single" w:sz="4" w:space="0" w:color="auto"/>
              <w:bottom w:val="single" w:sz="4" w:space="0" w:color="auto"/>
              <w:right w:val="single" w:sz="4" w:space="0" w:color="auto"/>
            </w:tcBorders>
          </w:tcPr>
          <w:p w14:paraId="2FB2BB59" w14:textId="77777777" w:rsidR="0022468F" w:rsidRPr="00801C68" w:rsidRDefault="0022468F" w:rsidP="00F005B7">
            <w:pPr>
              <w:pStyle w:val="TAC"/>
              <w:rPr>
                <w:rFonts w:eastAsia="PMingLiU"/>
              </w:rPr>
            </w:pPr>
            <w:r>
              <w:rPr>
                <w:rFonts w:eastAsia="PMingLiU"/>
              </w:rPr>
              <w:t>[</w:t>
            </w:r>
            <w:r w:rsidRPr="00801C68">
              <w:rPr>
                <w:rFonts w:eastAsia="PMingLiU"/>
              </w:rPr>
              <w:t>-91.9</w:t>
            </w:r>
            <w:r>
              <w:rPr>
                <w:rFonts w:eastAsia="PMingLiU"/>
              </w:rPr>
              <w:t>]</w:t>
            </w:r>
            <w:r w:rsidRPr="00801C68">
              <w:rPr>
                <w:rFonts w:eastAsia="PMingLiU"/>
                <w:vertAlign w:val="superscript"/>
              </w:rPr>
              <w:t>x</w:t>
            </w:r>
          </w:p>
        </w:tc>
        <w:tc>
          <w:tcPr>
            <w:tcW w:w="847" w:type="dxa"/>
            <w:tcBorders>
              <w:top w:val="single" w:sz="4" w:space="0" w:color="auto"/>
              <w:left w:val="single" w:sz="4" w:space="0" w:color="auto"/>
              <w:bottom w:val="single" w:sz="4" w:space="0" w:color="auto"/>
              <w:right w:val="single" w:sz="4" w:space="0" w:color="auto"/>
            </w:tcBorders>
          </w:tcPr>
          <w:p w14:paraId="76CA00BF" w14:textId="77777777" w:rsidR="0022468F" w:rsidRPr="00801C68" w:rsidRDefault="0022468F" w:rsidP="00F005B7">
            <w:pPr>
              <w:pStyle w:val="TAC"/>
              <w:rPr>
                <w:rFonts w:eastAsia="PMingLiU"/>
              </w:rPr>
            </w:pPr>
            <w:r w:rsidRPr="00801C68">
              <w:rPr>
                <w:rFonts w:eastAsia="PMingLiU"/>
              </w:rPr>
              <w:t>[-89.1]</w:t>
            </w:r>
          </w:p>
        </w:tc>
        <w:tc>
          <w:tcPr>
            <w:tcW w:w="847" w:type="dxa"/>
            <w:tcBorders>
              <w:top w:val="single" w:sz="4" w:space="0" w:color="auto"/>
              <w:left w:val="single" w:sz="4" w:space="0" w:color="auto"/>
              <w:bottom w:val="single" w:sz="4" w:space="0" w:color="auto"/>
              <w:right w:val="single" w:sz="4" w:space="0" w:color="auto"/>
            </w:tcBorders>
          </w:tcPr>
          <w:p w14:paraId="3E8BA12A" w14:textId="77777777" w:rsidR="0022468F" w:rsidRPr="00801C68" w:rsidRDefault="0022468F" w:rsidP="00F005B7">
            <w:pPr>
              <w:pStyle w:val="TAC"/>
              <w:rPr>
                <w:rFonts w:eastAsia="PMingLiU"/>
              </w:rPr>
            </w:pPr>
            <w:r w:rsidRPr="00801C68">
              <w:rPr>
                <w:rFonts w:eastAsia="PMingLiU"/>
              </w:rPr>
              <w:t>[-87.3]</w:t>
            </w:r>
          </w:p>
        </w:tc>
        <w:tc>
          <w:tcPr>
            <w:tcW w:w="831" w:type="dxa"/>
            <w:tcBorders>
              <w:top w:val="single" w:sz="4" w:space="0" w:color="auto"/>
              <w:left w:val="single" w:sz="4" w:space="0" w:color="auto"/>
              <w:bottom w:val="single" w:sz="4" w:space="0" w:color="auto"/>
              <w:right w:val="single" w:sz="4" w:space="0" w:color="auto"/>
            </w:tcBorders>
          </w:tcPr>
          <w:p w14:paraId="0DB292D1" w14:textId="77777777" w:rsidR="0022468F" w:rsidRPr="00801C68" w:rsidRDefault="0022468F" w:rsidP="00F005B7">
            <w:pPr>
              <w:pStyle w:val="TAC"/>
              <w:rPr>
                <w:rFonts w:eastAsia="PMingLiU"/>
              </w:rPr>
            </w:pPr>
            <w:r w:rsidRPr="00801C68">
              <w:rPr>
                <w:rFonts w:eastAsia="PMingLiU"/>
              </w:rPr>
              <w:t>[-85.3]</w:t>
            </w:r>
          </w:p>
        </w:tc>
        <w:tc>
          <w:tcPr>
            <w:tcW w:w="808" w:type="dxa"/>
            <w:tcBorders>
              <w:top w:val="single" w:sz="4" w:space="0" w:color="auto"/>
              <w:left w:val="single" w:sz="4" w:space="0" w:color="auto"/>
              <w:bottom w:val="single" w:sz="4" w:space="0" w:color="auto"/>
              <w:right w:val="single" w:sz="4" w:space="0" w:color="auto"/>
            </w:tcBorders>
          </w:tcPr>
          <w:p w14:paraId="16B70524" w14:textId="77777777" w:rsidR="0022468F" w:rsidRPr="00801C68" w:rsidRDefault="0022468F" w:rsidP="00F005B7">
            <w:pPr>
              <w:pStyle w:val="TAC"/>
              <w:rPr>
                <w:rFonts w:eastAsia="PMingLiU"/>
              </w:rPr>
            </w:pPr>
            <w:r w:rsidRPr="00801C68">
              <w:rPr>
                <w:rFonts w:eastAsia="PMingLiU"/>
              </w:rPr>
              <w:t>[-83.6]</w:t>
            </w:r>
          </w:p>
        </w:tc>
      </w:tr>
      <w:tr w:rsidR="0022468F" w:rsidRPr="00D20DEA" w14:paraId="7A2C5DB7" w14:textId="77777777" w:rsidTr="00F005B7">
        <w:trPr>
          <w:gridAfter w:val="1"/>
          <w:wAfter w:w="8" w:type="dxa"/>
          <w:trHeight w:val="187"/>
          <w:jc w:val="center"/>
        </w:trPr>
        <w:tc>
          <w:tcPr>
            <w:tcW w:w="1129" w:type="dxa"/>
            <w:vMerge/>
            <w:shd w:val="clear" w:color="auto" w:fill="auto"/>
            <w:vAlign w:val="center"/>
          </w:tcPr>
          <w:p w14:paraId="4F1904B9" w14:textId="77777777" w:rsidR="0022468F" w:rsidRPr="00801C68" w:rsidRDefault="0022468F" w:rsidP="00F005B7">
            <w:pPr>
              <w:pStyle w:val="TAC"/>
              <w:rPr>
                <w:rFonts w:eastAsia="PMingLiU"/>
              </w:rPr>
            </w:pPr>
          </w:p>
        </w:tc>
        <w:tc>
          <w:tcPr>
            <w:tcW w:w="615" w:type="dxa"/>
            <w:tcBorders>
              <w:top w:val="single" w:sz="4" w:space="0" w:color="auto"/>
              <w:left w:val="single" w:sz="4" w:space="0" w:color="auto"/>
              <w:bottom w:val="single" w:sz="4" w:space="0" w:color="auto"/>
              <w:right w:val="single" w:sz="4" w:space="0" w:color="auto"/>
            </w:tcBorders>
          </w:tcPr>
          <w:p w14:paraId="0DD714D6" w14:textId="77777777" w:rsidR="0022468F" w:rsidRPr="00801C68" w:rsidRDefault="0022468F" w:rsidP="00F005B7">
            <w:pPr>
              <w:pStyle w:val="TAC"/>
              <w:rPr>
                <w:rFonts w:eastAsia="PMingLiU"/>
              </w:rPr>
            </w:pPr>
            <w:r w:rsidRPr="00801C68">
              <w:rPr>
                <w:rFonts w:eastAsia="PMingLiU"/>
              </w:rPr>
              <w:t>30</w:t>
            </w:r>
          </w:p>
        </w:tc>
        <w:tc>
          <w:tcPr>
            <w:tcW w:w="807" w:type="dxa"/>
            <w:tcBorders>
              <w:top w:val="single" w:sz="4" w:space="0" w:color="auto"/>
              <w:left w:val="single" w:sz="4" w:space="0" w:color="auto"/>
              <w:bottom w:val="single" w:sz="4" w:space="0" w:color="auto"/>
              <w:right w:val="single" w:sz="4" w:space="0" w:color="auto"/>
            </w:tcBorders>
          </w:tcPr>
          <w:p w14:paraId="0F47113D" w14:textId="77777777" w:rsidR="0022468F" w:rsidRPr="00801C68" w:rsidRDefault="0022468F" w:rsidP="00F005B7">
            <w:pPr>
              <w:pStyle w:val="TAC"/>
              <w:rPr>
                <w:rFonts w:eastAsia="PMingLiU"/>
              </w:rPr>
            </w:pPr>
          </w:p>
        </w:tc>
        <w:tc>
          <w:tcPr>
            <w:tcW w:w="754" w:type="dxa"/>
            <w:tcBorders>
              <w:top w:val="single" w:sz="4" w:space="0" w:color="auto"/>
              <w:left w:val="single" w:sz="4" w:space="0" w:color="auto"/>
              <w:bottom w:val="single" w:sz="4" w:space="0" w:color="auto"/>
              <w:right w:val="single" w:sz="4" w:space="0" w:color="auto"/>
            </w:tcBorders>
          </w:tcPr>
          <w:p w14:paraId="346D0D2E" w14:textId="77777777" w:rsidR="0022468F" w:rsidRPr="00801C68" w:rsidRDefault="0022468F" w:rsidP="00F005B7">
            <w:pPr>
              <w:pStyle w:val="TAC"/>
              <w:rPr>
                <w:rFonts w:eastAsia="PMingLiU"/>
              </w:rPr>
            </w:pPr>
            <w:r w:rsidRPr="00801C68">
              <w:rPr>
                <w:rFonts w:eastAsia="PMingLiU"/>
              </w:rPr>
              <w:t>-94.3</w:t>
            </w:r>
            <w:r w:rsidRPr="00801C68">
              <w:rPr>
                <w:rFonts w:eastAsia="PMingLiU"/>
                <w:vertAlign w:val="superscript"/>
              </w:rPr>
              <w:t>x</w:t>
            </w:r>
          </w:p>
        </w:tc>
        <w:tc>
          <w:tcPr>
            <w:tcW w:w="887" w:type="dxa"/>
            <w:tcBorders>
              <w:top w:val="single" w:sz="4" w:space="0" w:color="auto"/>
              <w:left w:val="single" w:sz="4" w:space="0" w:color="auto"/>
              <w:bottom w:val="single" w:sz="4" w:space="0" w:color="auto"/>
              <w:right w:val="single" w:sz="4" w:space="0" w:color="auto"/>
            </w:tcBorders>
          </w:tcPr>
          <w:p w14:paraId="569F6424" w14:textId="77777777" w:rsidR="0022468F" w:rsidRPr="00801C68" w:rsidRDefault="0022468F" w:rsidP="00F005B7">
            <w:pPr>
              <w:pStyle w:val="TAC"/>
              <w:rPr>
                <w:rFonts w:eastAsia="PMingLiU"/>
              </w:rPr>
            </w:pPr>
            <w:r>
              <w:rPr>
                <w:rFonts w:eastAsia="PMingLiU"/>
              </w:rPr>
              <w:t>[</w:t>
            </w:r>
            <w:r w:rsidRPr="00801C68">
              <w:rPr>
                <w:rFonts w:eastAsia="PMingLiU"/>
              </w:rPr>
              <w:t>-92.0</w:t>
            </w:r>
            <w:r>
              <w:rPr>
                <w:rFonts w:eastAsia="PMingLiU"/>
              </w:rPr>
              <w:t>]</w:t>
            </w:r>
            <w:r w:rsidRPr="00801C68">
              <w:rPr>
                <w:rFonts w:eastAsia="PMingLiU"/>
                <w:vertAlign w:val="superscript"/>
              </w:rPr>
              <w:t>x</w:t>
            </w:r>
          </w:p>
        </w:tc>
        <w:tc>
          <w:tcPr>
            <w:tcW w:w="847" w:type="dxa"/>
            <w:tcBorders>
              <w:top w:val="single" w:sz="4" w:space="0" w:color="auto"/>
              <w:left w:val="single" w:sz="4" w:space="0" w:color="auto"/>
              <w:bottom w:val="single" w:sz="4" w:space="0" w:color="auto"/>
              <w:right w:val="single" w:sz="4" w:space="0" w:color="auto"/>
            </w:tcBorders>
          </w:tcPr>
          <w:p w14:paraId="3BD1AF64" w14:textId="77777777" w:rsidR="0022468F" w:rsidRPr="00801C68" w:rsidRDefault="0022468F" w:rsidP="00F005B7">
            <w:pPr>
              <w:pStyle w:val="TAC"/>
              <w:rPr>
                <w:rFonts w:eastAsia="PMingLiU"/>
              </w:rPr>
            </w:pPr>
            <w:r w:rsidRPr="00801C68">
              <w:rPr>
                <w:rFonts w:eastAsia="PMingLiU"/>
              </w:rPr>
              <w:t>[-83.0]</w:t>
            </w:r>
          </w:p>
        </w:tc>
        <w:tc>
          <w:tcPr>
            <w:tcW w:w="847" w:type="dxa"/>
            <w:tcBorders>
              <w:top w:val="single" w:sz="4" w:space="0" w:color="auto"/>
              <w:left w:val="single" w:sz="4" w:space="0" w:color="auto"/>
              <w:bottom w:val="single" w:sz="4" w:space="0" w:color="auto"/>
              <w:right w:val="single" w:sz="4" w:space="0" w:color="auto"/>
            </w:tcBorders>
          </w:tcPr>
          <w:p w14:paraId="764261E5" w14:textId="77777777" w:rsidR="0022468F" w:rsidRPr="00801C68" w:rsidRDefault="0022468F" w:rsidP="00F005B7">
            <w:pPr>
              <w:pStyle w:val="TAC"/>
              <w:rPr>
                <w:rFonts w:eastAsia="PMingLiU"/>
              </w:rPr>
            </w:pPr>
            <w:r w:rsidRPr="00801C68">
              <w:rPr>
                <w:rFonts w:eastAsia="PMingLiU"/>
              </w:rPr>
              <w:t>[-88.2]</w:t>
            </w:r>
          </w:p>
        </w:tc>
        <w:tc>
          <w:tcPr>
            <w:tcW w:w="831" w:type="dxa"/>
            <w:tcBorders>
              <w:top w:val="single" w:sz="4" w:space="0" w:color="auto"/>
              <w:left w:val="single" w:sz="4" w:space="0" w:color="auto"/>
              <w:bottom w:val="single" w:sz="4" w:space="0" w:color="auto"/>
              <w:right w:val="single" w:sz="4" w:space="0" w:color="auto"/>
            </w:tcBorders>
          </w:tcPr>
          <w:p w14:paraId="6BB294D6" w14:textId="77777777" w:rsidR="0022468F" w:rsidRPr="00801C68" w:rsidRDefault="0022468F" w:rsidP="00F005B7">
            <w:pPr>
              <w:pStyle w:val="TAC"/>
              <w:rPr>
                <w:rFonts w:eastAsia="PMingLiU"/>
              </w:rPr>
            </w:pPr>
            <w:r w:rsidRPr="00801C68">
              <w:rPr>
                <w:rFonts w:eastAsia="PMingLiU"/>
              </w:rPr>
              <w:t>[-86.5]</w:t>
            </w:r>
          </w:p>
        </w:tc>
        <w:tc>
          <w:tcPr>
            <w:tcW w:w="808" w:type="dxa"/>
            <w:tcBorders>
              <w:top w:val="single" w:sz="4" w:space="0" w:color="auto"/>
              <w:left w:val="single" w:sz="4" w:space="0" w:color="auto"/>
              <w:bottom w:val="single" w:sz="4" w:space="0" w:color="auto"/>
              <w:right w:val="single" w:sz="4" w:space="0" w:color="auto"/>
            </w:tcBorders>
          </w:tcPr>
          <w:p w14:paraId="3D04BF51" w14:textId="77777777" w:rsidR="0022468F" w:rsidRPr="00801C68" w:rsidRDefault="0022468F" w:rsidP="00F005B7">
            <w:pPr>
              <w:pStyle w:val="TAC"/>
              <w:rPr>
                <w:rFonts w:eastAsia="PMingLiU"/>
              </w:rPr>
            </w:pPr>
            <w:r w:rsidRPr="00801C68">
              <w:rPr>
                <w:rFonts w:eastAsia="PMingLiU"/>
              </w:rPr>
              <w:t>[-83.7]</w:t>
            </w:r>
          </w:p>
        </w:tc>
      </w:tr>
      <w:tr w:rsidR="0022468F" w:rsidRPr="00D20DEA" w14:paraId="072045FC" w14:textId="77777777" w:rsidTr="00F005B7">
        <w:trPr>
          <w:trHeight w:val="187"/>
          <w:jc w:val="center"/>
        </w:trPr>
        <w:tc>
          <w:tcPr>
            <w:tcW w:w="7533" w:type="dxa"/>
            <w:gridSpan w:val="10"/>
            <w:tcBorders>
              <w:right w:val="single" w:sz="4" w:space="0" w:color="auto"/>
            </w:tcBorders>
            <w:shd w:val="clear" w:color="auto" w:fill="auto"/>
            <w:vAlign w:val="center"/>
          </w:tcPr>
          <w:p w14:paraId="131426C6" w14:textId="77777777" w:rsidR="0022468F" w:rsidRPr="00801C68" w:rsidRDefault="0022468F" w:rsidP="00F005B7">
            <w:pPr>
              <w:pStyle w:val="TAN"/>
            </w:pPr>
            <w:r w:rsidRPr="00801C68">
              <w:t>Note X:</w:t>
            </w:r>
            <w:r w:rsidRPr="00801C68">
              <w:tab/>
              <w:t xml:space="preserve">Channels overlapping the 612-617MHz range are allowed </w:t>
            </w:r>
            <w:r>
              <w:t xml:space="preserve">a </w:t>
            </w:r>
            <w:r w:rsidRPr="00801C68">
              <w:t>0.5 dB REFSENS degradation</w:t>
            </w:r>
          </w:p>
        </w:tc>
      </w:tr>
    </w:tbl>
    <w:p w14:paraId="7C299608" w14:textId="77777777" w:rsidR="0022468F" w:rsidRDefault="0022468F" w:rsidP="0022468F">
      <w:pPr>
        <w:pStyle w:val="Caption"/>
        <w:keepNext/>
        <w:jc w:val="center"/>
      </w:pPr>
      <w:r>
        <w:t xml:space="preserve">Table </w:t>
      </w:r>
      <w:fldSimple w:instr=" SEQ Table \* ARABIC ">
        <w:r>
          <w:rPr>
            <w:noProof/>
          </w:rPr>
          <w:t>4</w:t>
        </w:r>
      </w:fldSimple>
      <w:r>
        <w:t>:</w:t>
      </w:r>
      <w:r w:rsidRPr="00494D5C">
        <w:rPr>
          <w:bCs/>
        </w:rPr>
        <w:t xml:space="preserve"> </w:t>
      </w:r>
      <w:r w:rsidRPr="00D20DEA">
        <w:rPr>
          <w:bCs/>
        </w:rPr>
        <w:t xml:space="preserve">UL configuration for </w:t>
      </w:r>
      <w:r>
        <w:rPr>
          <w:bCs/>
        </w:rPr>
        <w:t xml:space="preserve">n105 </w:t>
      </w:r>
      <w:r w:rsidRPr="00D20DEA">
        <w:rPr>
          <w:bCs/>
        </w:rPr>
        <w:t>REFSENS</w:t>
      </w:r>
    </w:p>
    <w:tbl>
      <w:tblPr>
        <w:tblW w:w="35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0"/>
        <w:gridCol w:w="589"/>
        <w:gridCol w:w="494"/>
        <w:gridCol w:w="506"/>
        <w:gridCol w:w="584"/>
        <w:gridCol w:w="483"/>
        <w:gridCol w:w="805"/>
        <w:gridCol w:w="894"/>
        <w:gridCol w:w="808"/>
        <w:gridCol w:w="1258"/>
      </w:tblGrid>
      <w:tr w:rsidR="0022468F" w:rsidRPr="00D20DEA" w14:paraId="23C62137" w14:textId="77777777" w:rsidTr="00F005B7">
        <w:trPr>
          <w:trHeight w:val="187"/>
          <w:tblHeader/>
          <w:jc w:val="center"/>
        </w:trPr>
        <w:tc>
          <w:tcPr>
            <w:tcW w:w="5000" w:type="pct"/>
            <w:gridSpan w:val="10"/>
            <w:tcBorders>
              <w:top w:val="single" w:sz="4" w:space="0" w:color="auto"/>
              <w:left w:val="single" w:sz="4" w:space="0" w:color="auto"/>
              <w:bottom w:val="single" w:sz="4" w:space="0" w:color="auto"/>
              <w:right w:val="single" w:sz="4" w:space="0" w:color="auto"/>
            </w:tcBorders>
          </w:tcPr>
          <w:p w14:paraId="626DA7AA" w14:textId="77777777" w:rsidR="0022468F" w:rsidRPr="00D20DEA" w:rsidRDefault="0022468F" w:rsidP="00F005B7">
            <w:pPr>
              <w:pStyle w:val="TAH"/>
              <w:rPr>
                <w:bCs/>
              </w:rPr>
            </w:pPr>
            <w:r w:rsidRPr="00D20DEA">
              <w:rPr>
                <w:bCs/>
              </w:rPr>
              <w:t>Operating band / SCS (kHz) / Channel bandwidth (MHz) / Duplex mode</w:t>
            </w:r>
          </w:p>
        </w:tc>
      </w:tr>
      <w:tr w:rsidR="0022468F" w:rsidRPr="00D20DEA" w14:paraId="642624B5" w14:textId="77777777" w:rsidTr="00F005B7">
        <w:trPr>
          <w:trHeight w:val="187"/>
          <w:tblHeader/>
          <w:jc w:val="center"/>
        </w:trPr>
        <w:tc>
          <w:tcPr>
            <w:tcW w:w="714" w:type="pct"/>
            <w:tcBorders>
              <w:bottom w:val="single" w:sz="4" w:space="0" w:color="auto"/>
            </w:tcBorders>
            <w:shd w:val="clear" w:color="auto" w:fill="auto"/>
          </w:tcPr>
          <w:p w14:paraId="02F50982" w14:textId="77777777" w:rsidR="0022468F" w:rsidRPr="00D20DEA" w:rsidRDefault="0022468F" w:rsidP="00F005B7">
            <w:pPr>
              <w:pStyle w:val="TAH"/>
              <w:rPr>
                <w:bCs/>
              </w:rPr>
            </w:pPr>
            <w:r w:rsidRPr="00D20DEA">
              <w:rPr>
                <w:bCs/>
              </w:rPr>
              <w:t>Operating Band</w:t>
            </w:r>
          </w:p>
        </w:tc>
        <w:tc>
          <w:tcPr>
            <w:tcW w:w="393" w:type="pct"/>
            <w:vAlign w:val="center"/>
          </w:tcPr>
          <w:p w14:paraId="0D7A817E" w14:textId="77777777" w:rsidR="0022468F" w:rsidRPr="00D20DEA" w:rsidRDefault="0022468F" w:rsidP="00F005B7">
            <w:pPr>
              <w:pStyle w:val="TAH"/>
              <w:rPr>
                <w:bCs/>
              </w:rPr>
            </w:pPr>
            <w:r w:rsidRPr="00D20DEA">
              <w:rPr>
                <w:bCs/>
              </w:rPr>
              <w:t>SCS</w:t>
            </w:r>
          </w:p>
        </w:tc>
        <w:tc>
          <w:tcPr>
            <w:tcW w:w="330" w:type="pct"/>
            <w:shd w:val="clear" w:color="auto" w:fill="auto"/>
            <w:vAlign w:val="center"/>
          </w:tcPr>
          <w:p w14:paraId="2FC67A45" w14:textId="77777777" w:rsidR="0022468F" w:rsidRPr="00D20DEA" w:rsidRDefault="0022468F" w:rsidP="00F005B7">
            <w:pPr>
              <w:pStyle w:val="TAH"/>
              <w:rPr>
                <w:bCs/>
              </w:rPr>
            </w:pPr>
            <w:r w:rsidRPr="00D20DEA">
              <w:rPr>
                <w:bCs/>
              </w:rPr>
              <w:t>5</w:t>
            </w:r>
          </w:p>
        </w:tc>
        <w:tc>
          <w:tcPr>
            <w:tcW w:w="338" w:type="pct"/>
            <w:shd w:val="clear" w:color="auto" w:fill="auto"/>
            <w:vAlign w:val="center"/>
          </w:tcPr>
          <w:p w14:paraId="6C4D7C16" w14:textId="77777777" w:rsidR="0022468F" w:rsidRPr="00D20DEA" w:rsidRDefault="0022468F" w:rsidP="00F005B7">
            <w:pPr>
              <w:pStyle w:val="TAH"/>
              <w:rPr>
                <w:bCs/>
              </w:rPr>
            </w:pPr>
            <w:r w:rsidRPr="00D20DEA">
              <w:rPr>
                <w:bCs/>
              </w:rPr>
              <w:t>10</w:t>
            </w:r>
          </w:p>
        </w:tc>
        <w:tc>
          <w:tcPr>
            <w:tcW w:w="390" w:type="pct"/>
            <w:shd w:val="clear" w:color="auto" w:fill="auto"/>
            <w:vAlign w:val="center"/>
          </w:tcPr>
          <w:p w14:paraId="739E3BB8" w14:textId="77777777" w:rsidR="0022468F" w:rsidRPr="00D20DEA" w:rsidRDefault="0022468F" w:rsidP="00F005B7">
            <w:pPr>
              <w:pStyle w:val="TAH"/>
              <w:rPr>
                <w:bCs/>
              </w:rPr>
            </w:pPr>
            <w:r w:rsidRPr="00D20DEA">
              <w:rPr>
                <w:bCs/>
              </w:rPr>
              <w:t>15</w:t>
            </w:r>
          </w:p>
        </w:tc>
        <w:tc>
          <w:tcPr>
            <w:tcW w:w="322" w:type="pct"/>
            <w:shd w:val="clear" w:color="auto" w:fill="auto"/>
            <w:vAlign w:val="center"/>
          </w:tcPr>
          <w:p w14:paraId="1865F90F" w14:textId="77777777" w:rsidR="0022468F" w:rsidRPr="00D20DEA" w:rsidRDefault="0022468F" w:rsidP="00F005B7">
            <w:pPr>
              <w:pStyle w:val="TAH"/>
              <w:rPr>
                <w:bCs/>
              </w:rPr>
            </w:pPr>
            <w:r w:rsidRPr="00D20DEA">
              <w:rPr>
                <w:bCs/>
              </w:rPr>
              <w:t>20</w:t>
            </w:r>
          </w:p>
        </w:tc>
        <w:tc>
          <w:tcPr>
            <w:tcW w:w="537" w:type="pct"/>
            <w:shd w:val="clear" w:color="auto" w:fill="auto"/>
            <w:vAlign w:val="center"/>
          </w:tcPr>
          <w:p w14:paraId="1B1067A1" w14:textId="77777777" w:rsidR="0022468F" w:rsidRPr="00D20DEA" w:rsidRDefault="0022468F" w:rsidP="00F005B7">
            <w:pPr>
              <w:pStyle w:val="TAH"/>
              <w:rPr>
                <w:bCs/>
              </w:rPr>
            </w:pPr>
            <w:r w:rsidRPr="00D20DEA">
              <w:rPr>
                <w:bCs/>
              </w:rPr>
              <w:t>25</w:t>
            </w:r>
          </w:p>
        </w:tc>
        <w:tc>
          <w:tcPr>
            <w:tcW w:w="597" w:type="pct"/>
            <w:vAlign w:val="center"/>
          </w:tcPr>
          <w:p w14:paraId="5F644149" w14:textId="77777777" w:rsidR="0022468F" w:rsidRPr="00D20DEA" w:rsidRDefault="0022468F" w:rsidP="00F005B7">
            <w:pPr>
              <w:pStyle w:val="TAH"/>
              <w:rPr>
                <w:bCs/>
              </w:rPr>
            </w:pPr>
            <w:r w:rsidRPr="00D20DEA">
              <w:rPr>
                <w:bCs/>
              </w:rPr>
              <w:t>30</w:t>
            </w:r>
          </w:p>
        </w:tc>
        <w:tc>
          <w:tcPr>
            <w:tcW w:w="539" w:type="pct"/>
            <w:vAlign w:val="center"/>
          </w:tcPr>
          <w:p w14:paraId="24297765" w14:textId="77777777" w:rsidR="0022468F" w:rsidRPr="00D20DEA" w:rsidRDefault="0022468F" w:rsidP="00F005B7">
            <w:pPr>
              <w:pStyle w:val="TAH"/>
              <w:rPr>
                <w:bCs/>
              </w:rPr>
            </w:pPr>
            <w:r w:rsidRPr="00D20DEA">
              <w:rPr>
                <w:bCs/>
              </w:rPr>
              <w:t>35</w:t>
            </w:r>
          </w:p>
        </w:tc>
        <w:tc>
          <w:tcPr>
            <w:tcW w:w="840" w:type="pct"/>
            <w:tcBorders>
              <w:bottom w:val="single" w:sz="4" w:space="0" w:color="auto"/>
            </w:tcBorders>
            <w:shd w:val="clear" w:color="auto" w:fill="auto"/>
          </w:tcPr>
          <w:p w14:paraId="65D62A6A" w14:textId="77777777" w:rsidR="0022468F" w:rsidRPr="00D20DEA" w:rsidRDefault="0022468F" w:rsidP="00F005B7">
            <w:pPr>
              <w:pStyle w:val="TAH"/>
              <w:rPr>
                <w:bCs/>
              </w:rPr>
            </w:pPr>
            <w:r w:rsidRPr="00D20DEA">
              <w:rPr>
                <w:bCs/>
              </w:rPr>
              <w:t>Duplex Mode</w:t>
            </w:r>
          </w:p>
        </w:tc>
      </w:tr>
      <w:tr w:rsidR="0022468F" w:rsidRPr="00D20DEA" w14:paraId="75F843A7" w14:textId="77777777" w:rsidTr="00F005B7">
        <w:trPr>
          <w:trHeight w:val="187"/>
          <w:jc w:val="center"/>
        </w:trPr>
        <w:tc>
          <w:tcPr>
            <w:tcW w:w="714" w:type="pct"/>
            <w:tcBorders>
              <w:bottom w:val="nil"/>
            </w:tcBorders>
            <w:shd w:val="clear" w:color="auto" w:fill="auto"/>
          </w:tcPr>
          <w:p w14:paraId="265B2BCA" w14:textId="77777777" w:rsidR="0022468F" w:rsidRPr="00801C68" w:rsidRDefault="0022468F" w:rsidP="00F005B7">
            <w:pPr>
              <w:pStyle w:val="TAC"/>
            </w:pPr>
            <w:r w:rsidRPr="00801C68">
              <w:t>n105</w:t>
            </w:r>
          </w:p>
        </w:tc>
        <w:tc>
          <w:tcPr>
            <w:tcW w:w="393" w:type="pct"/>
            <w:tcBorders>
              <w:top w:val="single" w:sz="4" w:space="0" w:color="auto"/>
              <w:left w:val="single" w:sz="4" w:space="0" w:color="auto"/>
              <w:bottom w:val="single" w:sz="4" w:space="0" w:color="auto"/>
              <w:right w:val="single" w:sz="4" w:space="0" w:color="auto"/>
            </w:tcBorders>
          </w:tcPr>
          <w:p w14:paraId="12ABBDC6" w14:textId="77777777" w:rsidR="0022468F" w:rsidRPr="00801C68" w:rsidRDefault="0022468F" w:rsidP="00F005B7">
            <w:pPr>
              <w:pStyle w:val="TAC"/>
              <w:rPr>
                <w:rFonts w:cs="Arial"/>
              </w:rPr>
            </w:pPr>
            <w:r w:rsidRPr="00801C68">
              <w:rPr>
                <w:rFonts w:cs="Arial"/>
                <w:lang w:val="fr-FR"/>
              </w:rPr>
              <w:t>15</w:t>
            </w:r>
          </w:p>
        </w:tc>
        <w:tc>
          <w:tcPr>
            <w:tcW w:w="330" w:type="pct"/>
            <w:tcBorders>
              <w:top w:val="single" w:sz="4" w:space="0" w:color="auto"/>
              <w:left w:val="single" w:sz="4" w:space="0" w:color="auto"/>
              <w:bottom w:val="single" w:sz="4" w:space="0" w:color="auto"/>
              <w:right w:val="single" w:sz="4" w:space="0" w:color="auto"/>
            </w:tcBorders>
          </w:tcPr>
          <w:p w14:paraId="619C2327" w14:textId="77777777" w:rsidR="0022468F" w:rsidRPr="00801C68" w:rsidRDefault="0022468F" w:rsidP="00F005B7">
            <w:pPr>
              <w:pStyle w:val="TAC"/>
            </w:pPr>
            <w:r w:rsidRPr="00801C68">
              <w:rPr>
                <w:lang w:val="fr-FR"/>
              </w:rPr>
              <w:t>25</w:t>
            </w:r>
          </w:p>
        </w:tc>
        <w:tc>
          <w:tcPr>
            <w:tcW w:w="338" w:type="pct"/>
            <w:tcBorders>
              <w:top w:val="single" w:sz="4" w:space="0" w:color="auto"/>
              <w:left w:val="single" w:sz="4" w:space="0" w:color="auto"/>
              <w:bottom w:val="single" w:sz="4" w:space="0" w:color="auto"/>
              <w:right w:val="single" w:sz="4" w:space="0" w:color="auto"/>
            </w:tcBorders>
          </w:tcPr>
          <w:p w14:paraId="3DFD8149" w14:textId="77777777" w:rsidR="0022468F" w:rsidRPr="00801C68" w:rsidRDefault="0022468F" w:rsidP="00F005B7">
            <w:pPr>
              <w:pStyle w:val="TAC"/>
            </w:pPr>
            <w:r w:rsidRPr="00801C68">
              <w:rPr>
                <w:lang w:val="fr-FR"/>
              </w:rPr>
              <w:t>25</w:t>
            </w:r>
            <w:r w:rsidRPr="00801C68">
              <w:rPr>
                <w:vertAlign w:val="superscript"/>
                <w:lang w:val="fr-FR"/>
              </w:rPr>
              <w:t>1</w:t>
            </w:r>
          </w:p>
        </w:tc>
        <w:tc>
          <w:tcPr>
            <w:tcW w:w="390" w:type="pct"/>
            <w:tcBorders>
              <w:top w:val="single" w:sz="4" w:space="0" w:color="auto"/>
              <w:left w:val="single" w:sz="4" w:space="0" w:color="auto"/>
              <w:bottom w:val="single" w:sz="4" w:space="0" w:color="auto"/>
              <w:right w:val="single" w:sz="4" w:space="0" w:color="auto"/>
            </w:tcBorders>
          </w:tcPr>
          <w:p w14:paraId="4155997F" w14:textId="77777777" w:rsidR="0022468F" w:rsidRPr="00801C68" w:rsidRDefault="0022468F" w:rsidP="00F005B7">
            <w:pPr>
              <w:pStyle w:val="TAC"/>
            </w:pPr>
            <w:r w:rsidRPr="00801C68">
              <w:rPr>
                <w:lang w:val="fr-FR"/>
              </w:rPr>
              <w:t>20</w:t>
            </w:r>
            <w:r w:rsidRPr="00801C68">
              <w:rPr>
                <w:vertAlign w:val="superscript"/>
                <w:lang w:val="fr-FR"/>
              </w:rPr>
              <w:t>1</w:t>
            </w:r>
          </w:p>
        </w:tc>
        <w:tc>
          <w:tcPr>
            <w:tcW w:w="322" w:type="pct"/>
            <w:tcBorders>
              <w:top w:val="single" w:sz="4" w:space="0" w:color="auto"/>
              <w:left w:val="single" w:sz="4" w:space="0" w:color="auto"/>
              <w:bottom w:val="single" w:sz="4" w:space="0" w:color="auto"/>
              <w:right w:val="single" w:sz="4" w:space="0" w:color="auto"/>
            </w:tcBorders>
          </w:tcPr>
          <w:p w14:paraId="0BEE7E06" w14:textId="77777777" w:rsidR="0022468F" w:rsidRPr="00801C68" w:rsidRDefault="0022468F" w:rsidP="00F005B7">
            <w:pPr>
              <w:pStyle w:val="TAC"/>
            </w:pPr>
            <w:r w:rsidRPr="00801C68">
              <w:rPr>
                <w:lang w:val="fr-FR"/>
              </w:rPr>
              <w:t>20</w:t>
            </w:r>
            <w:r w:rsidRPr="00801C68">
              <w:rPr>
                <w:vertAlign w:val="superscript"/>
                <w:lang w:val="fr-FR"/>
              </w:rPr>
              <w:t>1</w:t>
            </w:r>
          </w:p>
        </w:tc>
        <w:tc>
          <w:tcPr>
            <w:tcW w:w="537" w:type="pct"/>
            <w:tcBorders>
              <w:top w:val="single" w:sz="4" w:space="0" w:color="auto"/>
              <w:left w:val="single" w:sz="4" w:space="0" w:color="auto"/>
              <w:bottom w:val="single" w:sz="4" w:space="0" w:color="auto"/>
              <w:right w:val="single" w:sz="4" w:space="0" w:color="auto"/>
            </w:tcBorders>
          </w:tcPr>
          <w:p w14:paraId="57655A56" w14:textId="77777777" w:rsidR="0022468F" w:rsidRPr="00801C68" w:rsidRDefault="0022468F" w:rsidP="00F005B7">
            <w:pPr>
              <w:pStyle w:val="TAC"/>
            </w:pPr>
            <w:r w:rsidRPr="00801C68">
              <w:rPr>
                <w:lang w:val="fr-FR"/>
              </w:rPr>
              <w:t>Note 5</w:t>
            </w:r>
          </w:p>
        </w:tc>
        <w:tc>
          <w:tcPr>
            <w:tcW w:w="597" w:type="pct"/>
            <w:tcBorders>
              <w:top w:val="single" w:sz="4" w:space="0" w:color="auto"/>
              <w:left w:val="single" w:sz="4" w:space="0" w:color="auto"/>
              <w:bottom w:val="single" w:sz="4" w:space="0" w:color="auto"/>
              <w:right w:val="single" w:sz="4" w:space="0" w:color="auto"/>
            </w:tcBorders>
          </w:tcPr>
          <w:p w14:paraId="66476AE2" w14:textId="77777777" w:rsidR="0022468F" w:rsidRPr="00801C68" w:rsidRDefault="0022468F" w:rsidP="00F005B7">
            <w:pPr>
              <w:pStyle w:val="TAC"/>
            </w:pPr>
            <w:r w:rsidRPr="00801C68">
              <w:rPr>
                <w:lang w:val="fr-FR"/>
              </w:rPr>
              <w:t>Note 5</w:t>
            </w:r>
          </w:p>
        </w:tc>
        <w:tc>
          <w:tcPr>
            <w:tcW w:w="539" w:type="pct"/>
            <w:tcBorders>
              <w:top w:val="single" w:sz="4" w:space="0" w:color="auto"/>
              <w:left w:val="single" w:sz="4" w:space="0" w:color="auto"/>
              <w:bottom w:val="single" w:sz="4" w:space="0" w:color="auto"/>
              <w:right w:val="single" w:sz="4" w:space="0" w:color="auto"/>
            </w:tcBorders>
          </w:tcPr>
          <w:p w14:paraId="5CDC518B" w14:textId="77777777" w:rsidR="0022468F" w:rsidRPr="00801C68" w:rsidRDefault="0022468F" w:rsidP="00F005B7">
            <w:pPr>
              <w:pStyle w:val="TAC"/>
            </w:pPr>
            <w:r w:rsidRPr="00801C68">
              <w:rPr>
                <w:lang w:val="fr-FR"/>
              </w:rPr>
              <w:t>Note 5</w:t>
            </w:r>
          </w:p>
        </w:tc>
        <w:tc>
          <w:tcPr>
            <w:tcW w:w="840" w:type="pct"/>
            <w:tcBorders>
              <w:bottom w:val="nil"/>
            </w:tcBorders>
            <w:shd w:val="clear" w:color="auto" w:fill="auto"/>
          </w:tcPr>
          <w:p w14:paraId="0B311B7D" w14:textId="77777777" w:rsidR="0022468F" w:rsidRPr="00801C68" w:rsidRDefault="0022468F" w:rsidP="00F005B7">
            <w:pPr>
              <w:pStyle w:val="TAC"/>
            </w:pPr>
            <w:r w:rsidRPr="00801C68">
              <w:t>FDD</w:t>
            </w:r>
          </w:p>
        </w:tc>
      </w:tr>
      <w:tr w:rsidR="0022468F" w:rsidRPr="00D20DEA" w14:paraId="1E9AAFB0" w14:textId="77777777" w:rsidTr="00F005B7">
        <w:trPr>
          <w:trHeight w:val="187"/>
          <w:jc w:val="center"/>
        </w:trPr>
        <w:tc>
          <w:tcPr>
            <w:tcW w:w="714" w:type="pct"/>
            <w:tcBorders>
              <w:top w:val="nil"/>
              <w:bottom w:val="nil"/>
            </w:tcBorders>
            <w:shd w:val="clear" w:color="auto" w:fill="auto"/>
          </w:tcPr>
          <w:p w14:paraId="5048552E" w14:textId="77777777" w:rsidR="0022468F" w:rsidRPr="00801C68" w:rsidRDefault="0022468F" w:rsidP="00F005B7">
            <w:pPr>
              <w:pStyle w:val="TAC"/>
              <w:rPr>
                <w:rFonts w:cs="Arial"/>
              </w:rPr>
            </w:pPr>
          </w:p>
        </w:tc>
        <w:tc>
          <w:tcPr>
            <w:tcW w:w="393" w:type="pct"/>
            <w:tcBorders>
              <w:top w:val="single" w:sz="4" w:space="0" w:color="auto"/>
              <w:left w:val="single" w:sz="4" w:space="0" w:color="auto"/>
              <w:bottom w:val="single" w:sz="4" w:space="0" w:color="auto"/>
              <w:right w:val="single" w:sz="4" w:space="0" w:color="auto"/>
            </w:tcBorders>
          </w:tcPr>
          <w:p w14:paraId="01F894C4" w14:textId="77777777" w:rsidR="0022468F" w:rsidRPr="00801C68" w:rsidRDefault="0022468F" w:rsidP="00F005B7">
            <w:pPr>
              <w:pStyle w:val="TAC"/>
              <w:rPr>
                <w:rFonts w:cs="Arial"/>
              </w:rPr>
            </w:pPr>
            <w:r w:rsidRPr="00801C68">
              <w:rPr>
                <w:rFonts w:cs="Arial"/>
                <w:lang w:val="fr-FR"/>
              </w:rPr>
              <w:t>30</w:t>
            </w:r>
          </w:p>
        </w:tc>
        <w:tc>
          <w:tcPr>
            <w:tcW w:w="330" w:type="pct"/>
            <w:tcBorders>
              <w:top w:val="single" w:sz="4" w:space="0" w:color="auto"/>
              <w:left w:val="single" w:sz="4" w:space="0" w:color="auto"/>
              <w:bottom w:val="single" w:sz="4" w:space="0" w:color="auto"/>
              <w:right w:val="single" w:sz="4" w:space="0" w:color="auto"/>
            </w:tcBorders>
          </w:tcPr>
          <w:p w14:paraId="386FC885" w14:textId="77777777" w:rsidR="0022468F" w:rsidRPr="00801C68" w:rsidRDefault="0022468F" w:rsidP="00F005B7">
            <w:pPr>
              <w:pStyle w:val="TAC"/>
            </w:pPr>
          </w:p>
        </w:tc>
        <w:tc>
          <w:tcPr>
            <w:tcW w:w="338" w:type="pct"/>
            <w:tcBorders>
              <w:top w:val="single" w:sz="4" w:space="0" w:color="auto"/>
              <w:left w:val="single" w:sz="4" w:space="0" w:color="auto"/>
              <w:bottom w:val="single" w:sz="4" w:space="0" w:color="auto"/>
              <w:right w:val="single" w:sz="4" w:space="0" w:color="auto"/>
            </w:tcBorders>
          </w:tcPr>
          <w:p w14:paraId="336C5B54" w14:textId="77777777" w:rsidR="0022468F" w:rsidRPr="00801C68" w:rsidRDefault="0022468F" w:rsidP="00F005B7">
            <w:pPr>
              <w:pStyle w:val="TAC"/>
            </w:pPr>
            <w:r w:rsidRPr="00801C68">
              <w:rPr>
                <w:lang w:val="fr-FR"/>
              </w:rPr>
              <w:t>12</w:t>
            </w:r>
            <w:r w:rsidRPr="00801C68">
              <w:rPr>
                <w:vertAlign w:val="superscript"/>
                <w:lang w:val="fr-FR"/>
              </w:rPr>
              <w:t>1</w:t>
            </w:r>
          </w:p>
        </w:tc>
        <w:tc>
          <w:tcPr>
            <w:tcW w:w="390" w:type="pct"/>
            <w:tcBorders>
              <w:top w:val="single" w:sz="4" w:space="0" w:color="auto"/>
              <w:left w:val="single" w:sz="4" w:space="0" w:color="auto"/>
              <w:bottom w:val="single" w:sz="4" w:space="0" w:color="auto"/>
              <w:right w:val="single" w:sz="4" w:space="0" w:color="auto"/>
            </w:tcBorders>
          </w:tcPr>
          <w:p w14:paraId="5EF87B28" w14:textId="77777777" w:rsidR="0022468F" w:rsidRPr="00801C68" w:rsidRDefault="0022468F" w:rsidP="00F005B7">
            <w:pPr>
              <w:pStyle w:val="TAC"/>
            </w:pPr>
            <w:r w:rsidRPr="00801C68">
              <w:rPr>
                <w:lang w:val="fr-FR"/>
              </w:rPr>
              <w:t>10</w:t>
            </w:r>
            <w:r w:rsidRPr="00801C68">
              <w:rPr>
                <w:vertAlign w:val="superscript"/>
                <w:lang w:val="fr-FR"/>
              </w:rPr>
              <w:t>1</w:t>
            </w:r>
          </w:p>
        </w:tc>
        <w:tc>
          <w:tcPr>
            <w:tcW w:w="322" w:type="pct"/>
            <w:tcBorders>
              <w:top w:val="single" w:sz="4" w:space="0" w:color="auto"/>
              <w:left w:val="single" w:sz="4" w:space="0" w:color="auto"/>
              <w:bottom w:val="single" w:sz="4" w:space="0" w:color="auto"/>
              <w:right w:val="single" w:sz="4" w:space="0" w:color="auto"/>
            </w:tcBorders>
          </w:tcPr>
          <w:p w14:paraId="7D999EF8" w14:textId="77777777" w:rsidR="0022468F" w:rsidRPr="00801C68" w:rsidRDefault="0022468F" w:rsidP="00F005B7">
            <w:pPr>
              <w:pStyle w:val="TAC"/>
            </w:pPr>
            <w:r w:rsidRPr="00801C68">
              <w:rPr>
                <w:lang w:val="fr-FR"/>
              </w:rPr>
              <w:t>10</w:t>
            </w:r>
            <w:r w:rsidRPr="00801C68">
              <w:rPr>
                <w:vertAlign w:val="superscript"/>
                <w:lang w:val="fr-FR"/>
              </w:rPr>
              <w:t>1</w:t>
            </w:r>
          </w:p>
        </w:tc>
        <w:tc>
          <w:tcPr>
            <w:tcW w:w="537" w:type="pct"/>
            <w:tcBorders>
              <w:top w:val="single" w:sz="4" w:space="0" w:color="auto"/>
              <w:left w:val="single" w:sz="4" w:space="0" w:color="auto"/>
              <w:bottom w:val="single" w:sz="4" w:space="0" w:color="auto"/>
              <w:right w:val="single" w:sz="4" w:space="0" w:color="auto"/>
            </w:tcBorders>
          </w:tcPr>
          <w:p w14:paraId="09749073" w14:textId="77777777" w:rsidR="0022468F" w:rsidRPr="00801C68" w:rsidRDefault="0022468F" w:rsidP="00F005B7">
            <w:pPr>
              <w:pStyle w:val="TAC"/>
            </w:pPr>
            <w:r w:rsidRPr="00801C68">
              <w:rPr>
                <w:lang w:val="fr-FR"/>
              </w:rPr>
              <w:t>Note 5</w:t>
            </w:r>
          </w:p>
        </w:tc>
        <w:tc>
          <w:tcPr>
            <w:tcW w:w="597" w:type="pct"/>
            <w:tcBorders>
              <w:top w:val="single" w:sz="4" w:space="0" w:color="auto"/>
              <w:left w:val="single" w:sz="4" w:space="0" w:color="auto"/>
              <w:bottom w:val="single" w:sz="4" w:space="0" w:color="auto"/>
              <w:right w:val="single" w:sz="4" w:space="0" w:color="auto"/>
            </w:tcBorders>
          </w:tcPr>
          <w:p w14:paraId="57D64519" w14:textId="77777777" w:rsidR="0022468F" w:rsidRPr="00801C68" w:rsidRDefault="0022468F" w:rsidP="00F005B7">
            <w:pPr>
              <w:pStyle w:val="TAC"/>
            </w:pPr>
            <w:r w:rsidRPr="00801C68">
              <w:rPr>
                <w:lang w:val="fr-FR"/>
              </w:rPr>
              <w:t>Note 5</w:t>
            </w:r>
          </w:p>
        </w:tc>
        <w:tc>
          <w:tcPr>
            <w:tcW w:w="539" w:type="pct"/>
            <w:tcBorders>
              <w:top w:val="single" w:sz="4" w:space="0" w:color="auto"/>
              <w:left w:val="single" w:sz="4" w:space="0" w:color="auto"/>
              <w:bottom w:val="single" w:sz="4" w:space="0" w:color="auto"/>
              <w:right w:val="single" w:sz="4" w:space="0" w:color="auto"/>
            </w:tcBorders>
          </w:tcPr>
          <w:p w14:paraId="5225A832" w14:textId="77777777" w:rsidR="0022468F" w:rsidRPr="00801C68" w:rsidRDefault="0022468F" w:rsidP="00F005B7">
            <w:pPr>
              <w:pStyle w:val="TAC"/>
            </w:pPr>
            <w:r w:rsidRPr="00801C68">
              <w:rPr>
                <w:lang w:val="fr-FR"/>
              </w:rPr>
              <w:t>Note 5</w:t>
            </w:r>
          </w:p>
        </w:tc>
        <w:tc>
          <w:tcPr>
            <w:tcW w:w="840" w:type="pct"/>
            <w:tcBorders>
              <w:top w:val="nil"/>
              <w:bottom w:val="nil"/>
            </w:tcBorders>
            <w:shd w:val="clear" w:color="auto" w:fill="auto"/>
          </w:tcPr>
          <w:p w14:paraId="09B27762" w14:textId="77777777" w:rsidR="0022468F" w:rsidRPr="00801C68" w:rsidRDefault="0022468F" w:rsidP="00F005B7">
            <w:pPr>
              <w:pStyle w:val="TAC"/>
            </w:pPr>
          </w:p>
        </w:tc>
      </w:tr>
      <w:tr w:rsidR="0022468F" w:rsidRPr="00D20DEA" w14:paraId="7C3B91A3" w14:textId="77777777" w:rsidTr="00F005B7">
        <w:trPr>
          <w:trHeight w:val="255"/>
          <w:jc w:val="center"/>
        </w:trPr>
        <w:tc>
          <w:tcPr>
            <w:tcW w:w="5000" w:type="pct"/>
            <w:gridSpan w:val="10"/>
          </w:tcPr>
          <w:p w14:paraId="2F52B88C" w14:textId="77777777" w:rsidR="0022468F" w:rsidRPr="00801C68" w:rsidRDefault="0022468F" w:rsidP="00F005B7">
            <w:pPr>
              <w:pStyle w:val="TAN"/>
            </w:pPr>
            <w:r w:rsidRPr="00801C68">
              <w:t>Note 1:</w:t>
            </w:r>
            <w:r w:rsidRPr="00801C68">
              <w:tab/>
              <w:t>UL resource blocks shall be located as close as possible to the downlink operating band but confined within the transmission bandwidth configuration for the channel bandwidth (Table 5.3.2-1).</w:t>
            </w:r>
          </w:p>
          <w:p w14:paraId="137EA2E3" w14:textId="77777777" w:rsidR="0022468F" w:rsidRPr="00801C68" w:rsidRDefault="0022468F" w:rsidP="00F005B7">
            <w:pPr>
              <w:pStyle w:val="TAN"/>
            </w:pPr>
            <w:r w:rsidRPr="00801C68">
              <w:t>Note 5:</w:t>
            </w:r>
            <w:r w:rsidRPr="00801C68">
              <w:tab/>
              <w:t>For this DL channel bandwidth, the UL configuration of the highest UL channel bandwidth specified in Table 5.3.6-1 and the default Tx-Rx frequency separation specified in Table 5.4.4-1 shall be used.</w:t>
            </w:r>
          </w:p>
        </w:tc>
      </w:tr>
    </w:tbl>
    <w:p w14:paraId="54FEA629" w14:textId="77777777" w:rsidR="00EB341F" w:rsidRDefault="00EB341F" w:rsidP="00EB341F">
      <w:pPr>
        <w:spacing w:after="0"/>
        <w:rPr>
          <w:b/>
          <w:bCs/>
        </w:rPr>
      </w:pPr>
    </w:p>
    <w:p w14:paraId="337DC633" w14:textId="77777777" w:rsidR="0022468F" w:rsidRPr="00386189" w:rsidRDefault="0022468F" w:rsidP="0022468F">
      <w:pPr>
        <w:spacing w:after="0"/>
        <w:rPr>
          <w:b/>
          <w:bCs/>
        </w:rPr>
      </w:pPr>
      <w:r w:rsidRPr="00386189">
        <w:rPr>
          <w:b/>
          <w:bCs/>
        </w:rPr>
        <w:t>Proposal for n105 blocking:</w:t>
      </w:r>
    </w:p>
    <w:p w14:paraId="7B2961B9" w14:textId="77777777" w:rsidR="0022468F" w:rsidRPr="00386189" w:rsidRDefault="0022468F" w:rsidP="0022468F">
      <w:pPr>
        <w:pStyle w:val="ListParagraph"/>
        <w:numPr>
          <w:ilvl w:val="0"/>
          <w:numId w:val="33"/>
        </w:numPr>
        <w:rPr>
          <w:b/>
          <w:bCs/>
        </w:rPr>
      </w:pPr>
      <w:r w:rsidRPr="00386189">
        <w:rPr>
          <w:b/>
          <w:bCs/>
        </w:rPr>
        <w:t>Cases 5 with -22dBm at F</w:t>
      </w:r>
      <w:r w:rsidRPr="00386189">
        <w:rPr>
          <w:b/>
          <w:bCs/>
          <w:vertAlign w:val="subscript"/>
        </w:rPr>
        <w:t>DL_low</w:t>
      </w:r>
      <w:r w:rsidRPr="00386189">
        <w:rPr>
          <w:b/>
          <w:bCs/>
        </w:rPr>
        <w:t xml:space="preserve"> – 12 is introduced based on 7dB lower interference from DTT CH36 compared to n71 case</w:t>
      </w:r>
    </w:p>
    <w:p w14:paraId="7D96F62E" w14:textId="77777777" w:rsidR="0022468F" w:rsidRDefault="0022468F" w:rsidP="0022468F">
      <w:pPr>
        <w:pStyle w:val="ListParagraph"/>
        <w:numPr>
          <w:ilvl w:val="0"/>
          <w:numId w:val="33"/>
        </w:numPr>
        <w:rPr>
          <w:b/>
          <w:bCs/>
        </w:rPr>
      </w:pPr>
      <w:r>
        <w:rPr>
          <w:b/>
          <w:bCs/>
        </w:rPr>
        <w:t xml:space="preserve">To account for DTT interference to the first 5MHz, a relaxed -34dBm at </w:t>
      </w:r>
      <w:r w:rsidRPr="00386189">
        <w:rPr>
          <w:b/>
          <w:bCs/>
        </w:rPr>
        <w:t>F</w:t>
      </w:r>
      <w:r w:rsidRPr="00386189">
        <w:rPr>
          <w:b/>
          <w:bCs/>
          <w:vertAlign w:val="subscript"/>
        </w:rPr>
        <w:t>DL_low</w:t>
      </w:r>
      <w:r w:rsidRPr="00386189">
        <w:rPr>
          <w:b/>
          <w:bCs/>
        </w:rPr>
        <w:t xml:space="preserve"> – </w:t>
      </w:r>
      <w:r>
        <w:rPr>
          <w:b/>
          <w:bCs/>
        </w:rPr>
        <w:t xml:space="preserve">7 is needed and since it is very close to the Case 1, instead of introducing a case 6, a Case 1 exception is at -34dBm is introduced for channels </w:t>
      </w:r>
      <w:r w:rsidRPr="00931048">
        <w:rPr>
          <w:b/>
          <w:bCs/>
        </w:rPr>
        <w:t>overlapping with the 612 to 617 MHz frequency range.</w:t>
      </w:r>
    </w:p>
    <w:p w14:paraId="236F4C35" w14:textId="77777777" w:rsidR="0022468F" w:rsidRDefault="0022468F" w:rsidP="0022468F">
      <w:pPr>
        <w:pStyle w:val="ListParagraph"/>
        <w:numPr>
          <w:ilvl w:val="0"/>
          <w:numId w:val="33"/>
        </w:numPr>
        <w:rPr>
          <w:b/>
          <w:bCs/>
        </w:rPr>
      </w:pPr>
      <w:r>
        <w:rPr>
          <w:b/>
          <w:bCs/>
        </w:rPr>
        <w:t>This is implemented in the specification as shown in Table 5.</w:t>
      </w:r>
    </w:p>
    <w:p w14:paraId="7FCB4CB7" w14:textId="77777777" w:rsidR="0022468F" w:rsidRDefault="0022468F" w:rsidP="0022468F">
      <w:pPr>
        <w:pStyle w:val="Caption"/>
        <w:keepNext/>
        <w:jc w:val="center"/>
      </w:pPr>
      <w:r>
        <w:lastRenderedPageBreak/>
        <w:t xml:space="preserve">Table </w:t>
      </w:r>
      <w:fldSimple w:instr=" SEQ Table \* ARABIC ">
        <w:r>
          <w:rPr>
            <w:noProof/>
          </w:rPr>
          <w:t>5</w:t>
        </w:r>
      </w:fldSimple>
      <w:r>
        <w:t xml:space="preserve">: n105 specific </w:t>
      </w:r>
      <w:r w:rsidRPr="00A2217E">
        <w:rPr>
          <w:highlight w:val="yellow"/>
        </w:rPr>
        <w:t>case 1 and 4</w:t>
      </w:r>
      <w:r>
        <w:t xml:space="preserve"> in-band blocking</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1170"/>
        <w:gridCol w:w="720"/>
        <w:gridCol w:w="1167"/>
        <w:gridCol w:w="1489"/>
        <w:gridCol w:w="1260"/>
        <w:gridCol w:w="1320"/>
        <w:gridCol w:w="1470"/>
      </w:tblGrid>
      <w:tr w:rsidR="0022468F" w:rsidRPr="00A1115A" w14:paraId="39941DE6" w14:textId="77777777" w:rsidTr="00F005B7">
        <w:trPr>
          <w:jc w:val="center"/>
        </w:trPr>
        <w:tc>
          <w:tcPr>
            <w:tcW w:w="977" w:type="dxa"/>
            <w:tcBorders>
              <w:bottom w:val="nil"/>
            </w:tcBorders>
            <w:shd w:val="clear" w:color="auto" w:fill="auto"/>
          </w:tcPr>
          <w:p w14:paraId="354B02EA" w14:textId="77777777" w:rsidR="0022468F" w:rsidRPr="00A1115A" w:rsidRDefault="0022468F" w:rsidP="00F005B7">
            <w:pPr>
              <w:pStyle w:val="TAH"/>
            </w:pPr>
            <w:r w:rsidRPr="00A1115A">
              <w:t>NR band</w:t>
            </w:r>
          </w:p>
        </w:tc>
        <w:tc>
          <w:tcPr>
            <w:tcW w:w="1170" w:type="dxa"/>
            <w:shd w:val="clear" w:color="auto" w:fill="auto"/>
          </w:tcPr>
          <w:p w14:paraId="19BB9D5B" w14:textId="77777777" w:rsidR="0022468F" w:rsidRPr="00A1115A" w:rsidRDefault="0022468F" w:rsidP="00F005B7">
            <w:pPr>
              <w:pStyle w:val="TAH"/>
            </w:pPr>
            <w:r w:rsidRPr="00A1115A">
              <w:t>Parameter</w:t>
            </w:r>
          </w:p>
        </w:tc>
        <w:tc>
          <w:tcPr>
            <w:tcW w:w="720" w:type="dxa"/>
          </w:tcPr>
          <w:p w14:paraId="4D907770" w14:textId="77777777" w:rsidR="0022468F" w:rsidRPr="00A1115A" w:rsidRDefault="0022468F" w:rsidP="00F005B7">
            <w:pPr>
              <w:pStyle w:val="TAH"/>
            </w:pPr>
            <w:r w:rsidRPr="00A1115A">
              <w:t>Unit</w:t>
            </w:r>
          </w:p>
        </w:tc>
        <w:tc>
          <w:tcPr>
            <w:tcW w:w="1167" w:type="dxa"/>
          </w:tcPr>
          <w:p w14:paraId="3A42D330" w14:textId="77777777" w:rsidR="0022468F" w:rsidRPr="00A1115A" w:rsidRDefault="0022468F" w:rsidP="00F005B7">
            <w:pPr>
              <w:pStyle w:val="TAH"/>
            </w:pPr>
            <w:r w:rsidRPr="00A1115A">
              <w:t>Case 1</w:t>
            </w:r>
          </w:p>
        </w:tc>
        <w:tc>
          <w:tcPr>
            <w:tcW w:w="1489" w:type="dxa"/>
          </w:tcPr>
          <w:p w14:paraId="30ACA790" w14:textId="77777777" w:rsidR="0022468F" w:rsidRPr="00A1115A" w:rsidRDefault="0022468F" w:rsidP="00F005B7">
            <w:pPr>
              <w:pStyle w:val="TAH"/>
            </w:pPr>
            <w:r w:rsidRPr="00A1115A">
              <w:t>Case 2</w:t>
            </w:r>
          </w:p>
        </w:tc>
        <w:tc>
          <w:tcPr>
            <w:tcW w:w="1260" w:type="dxa"/>
          </w:tcPr>
          <w:p w14:paraId="6AA511F5" w14:textId="77777777" w:rsidR="0022468F" w:rsidRPr="00A2217E" w:rsidRDefault="0022468F" w:rsidP="00F005B7">
            <w:pPr>
              <w:pStyle w:val="TAH"/>
            </w:pPr>
            <w:r w:rsidRPr="00A2217E">
              <w:t>Case 3</w:t>
            </w:r>
          </w:p>
        </w:tc>
        <w:tc>
          <w:tcPr>
            <w:tcW w:w="1320" w:type="dxa"/>
          </w:tcPr>
          <w:p w14:paraId="59AECB41" w14:textId="77777777" w:rsidR="0022468F" w:rsidRPr="00A1115A" w:rsidRDefault="0022468F" w:rsidP="00F005B7">
            <w:pPr>
              <w:pStyle w:val="TAH"/>
            </w:pPr>
            <w:r w:rsidRPr="00A1115A">
              <w:t>Case 4</w:t>
            </w:r>
          </w:p>
        </w:tc>
        <w:tc>
          <w:tcPr>
            <w:tcW w:w="1470" w:type="dxa"/>
          </w:tcPr>
          <w:p w14:paraId="21B861FE" w14:textId="77777777" w:rsidR="0022468F" w:rsidRPr="00A1115A" w:rsidRDefault="0022468F" w:rsidP="00F005B7">
            <w:pPr>
              <w:pStyle w:val="TAH"/>
            </w:pPr>
            <w:r w:rsidRPr="00A1115A">
              <w:t xml:space="preserve">Case </w:t>
            </w:r>
            <w:r>
              <w:t>5</w:t>
            </w:r>
          </w:p>
        </w:tc>
      </w:tr>
      <w:tr w:rsidR="0022468F" w:rsidRPr="00A1115A" w14:paraId="53B4A3A3" w14:textId="77777777" w:rsidTr="00F005B7">
        <w:trPr>
          <w:jc w:val="center"/>
        </w:trPr>
        <w:tc>
          <w:tcPr>
            <w:tcW w:w="977" w:type="dxa"/>
            <w:tcBorders>
              <w:top w:val="nil"/>
              <w:bottom w:val="nil"/>
            </w:tcBorders>
            <w:shd w:val="clear" w:color="auto" w:fill="auto"/>
          </w:tcPr>
          <w:p w14:paraId="024BC51E" w14:textId="77777777" w:rsidR="0022468F" w:rsidRPr="00A1115A" w:rsidRDefault="0022468F" w:rsidP="00F005B7">
            <w:pPr>
              <w:pStyle w:val="TAC"/>
              <w:jc w:val="left"/>
              <w:rPr>
                <w:lang w:val="sv-SE"/>
              </w:rPr>
            </w:pPr>
          </w:p>
        </w:tc>
        <w:tc>
          <w:tcPr>
            <w:tcW w:w="1170" w:type="dxa"/>
            <w:shd w:val="clear" w:color="auto" w:fill="auto"/>
          </w:tcPr>
          <w:p w14:paraId="2FD5CB18" w14:textId="77777777" w:rsidR="0022468F" w:rsidRPr="00A1115A" w:rsidRDefault="0022468F" w:rsidP="00F005B7">
            <w:pPr>
              <w:pStyle w:val="TAL"/>
              <w:rPr>
                <w:lang w:val="sv-SE"/>
              </w:rPr>
            </w:pPr>
            <w:r w:rsidRPr="00A1115A">
              <w:rPr>
                <w:lang w:val="sv-SE"/>
              </w:rPr>
              <w:t>P</w:t>
            </w:r>
            <w:r w:rsidRPr="00A1115A">
              <w:rPr>
                <w:vertAlign w:val="subscript"/>
                <w:lang w:val="sv-SE"/>
              </w:rPr>
              <w:t>interferer</w:t>
            </w:r>
          </w:p>
        </w:tc>
        <w:tc>
          <w:tcPr>
            <w:tcW w:w="720" w:type="dxa"/>
          </w:tcPr>
          <w:p w14:paraId="37DD1E3B" w14:textId="77777777" w:rsidR="0022468F" w:rsidRPr="00A1115A" w:rsidRDefault="0022468F" w:rsidP="00F005B7">
            <w:pPr>
              <w:pStyle w:val="TAC"/>
              <w:rPr>
                <w:lang w:val="sv-SE"/>
              </w:rPr>
            </w:pPr>
            <w:r w:rsidRPr="00A1115A">
              <w:rPr>
                <w:lang w:val="sv-SE"/>
              </w:rPr>
              <w:t>dBm</w:t>
            </w:r>
          </w:p>
        </w:tc>
        <w:tc>
          <w:tcPr>
            <w:tcW w:w="1167" w:type="dxa"/>
            <w:vAlign w:val="center"/>
          </w:tcPr>
          <w:p w14:paraId="38DD84FE" w14:textId="77777777" w:rsidR="0022468F" w:rsidRPr="00A1115A" w:rsidRDefault="0022468F" w:rsidP="00F005B7">
            <w:pPr>
              <w:pStyle w:val="TAC"/>
            </w:pPr>
            <w:r w:rsidRPr="00A1115A">
              <w:t>-56</w:t>
            </w:r>
          </w:p>
        </w:tc>
        <w:tc>
          <w:tcPr>
            <w:tcW w:w="1489" w:type="dxa"/>
          </w:tcPr>
          <w:p w14:paraId="2543C9A9" w14:textId="77777777" w:rsidR="0022468F" w:rsidRPr="00A1115A" w:rsidRDefault="0022468F" w:rsidP="00F005B7">
            <w:pPr>
              <w:pStyle w:val="TAC"/>
            </w:pPr>
            <w:r w:rsidRPr="00A1115A">
              <w:t>-44</w:t>
            </w:r>
          </w:p>
        </w:tc>
        <w:tc>
          <w:tcPr>
            <w:tcW w:w="1260" w:type="dxa"/>
          </w:tcPr>
          <w:p w14:paraId="349C1384" w14:textId="77777777" w:rsidR="0022468F" w:rsidRPr="00A2217E" w:rsidRDefault="0022468F" w:rsidP="00F005B7">
            <w:pPr>
              <w:pStyle w:val="TAC"/>
            </w:pPr>
            <w:r w:rsidRPr="00A2217E">
              <w:t>-15</w:t>
            </w:r>
          </w:p>
        </w:tc>
        <w:tc>
          <w:tcPr>
            <w:tcW w:w="1320" w:type="dxa"/>
          </w:tcPr>
          <w:p w14:paraId="62A56E7E" w14:textId="77777777" w:rsidR="0022468F" w:rsidRPr="00A1115A" w:rsidRDefault="0022468F" w:rsidP="00F005B7">
            <w:pPr>
              <w:pStyle w:val="TAC"/>
            </w:pPr>
            <w:r w:rsidRPr="00A1115A">
              <w:t>-38</w:t>
            </w:r>
          </w:p>
        </w:tc>
        <w:tc>
          <w:tcPr>
            <w:tcW w:w="1470" w:type="dxa"/>
          </w:tcPr>
          <w:p w14:paraId="7F8CB2CF" w14:textId="77777777" w:rsidR="0022468F" w:rsidRPr="00A1115A" w:rsidRDefault="0022468F" w:rsidP="00F005B7">
            <w:pPr>
              <w:pStyle w:val="TAC"/>
            </w:pPr>
            <w:r w:rsidRPr="00A2217E">
              <w:rPr>
                <w:highlight w:val="yellow"/>
              </w:rPr>
              <w:t>-22</w:t>
            </w:r>
          </w:p>
        </w:tc>
      </w:tr>
      <w:tr w:rsidR="0022468F" w:rsidRPr="00A1115A" w14:paraId="0E1A66CD" w14:textId="77777777" w:rsidTr="00F005B7">
        <w:trPr>
          <w:jc w:val="center"/>
        </w:trPr>
        <w:tc>
          <w:tcPr>
            <w:tcW w:w="977" w:type="dxa"/>
          </w:tcPr>
          <w:p w14:paraId="53F6888B" w14:textId="77777777" w:rsidR="0022468F" w:rsidRPr="00A1115A" w:rsidRDefault="0022468F" w:rsidP="00F005B7">
            <w:pPr>
              <w:pStyle w:val="TAL"/>
            </w:pPr>
            <w:r w:rsidRPr="00A1115A">
              <w:t>n71</w:t>
            </w:r>
          </w:p>
        </w:tc>
        <w:tc>
          <w:tcPr>
            <w:tcW w:w="1170" w:type="dxa"/>
            <w:shd w:val="clear" w:color="auto" w:fill="auto"/>
          </w:tcPr>
          <w:p w14:paraId="33E11EA7" w14:textId="77777777" w:rsidR="0022468F" w:rsidRPr="00A1115A" w:rsidRDefault="0022468F" w:rsidP="00F005B7">
            <w:pPr>
              <w:pStyle w:val="TAL"/>
              <w:rPr>
                <w:lang w:val="sv-SE"/>
              </w:rPr>
            </w:pPr>
            <w:r w:rsidRPr="00A1115A">
              <w:rPr>
                <w:lang w:val="sv-SE"/>
              </w:rPr>
              <w:t>F</w:t>
            </w:r>
            <w:r w:rsidRPr="00A1115A">
              <w:rPr>
                <w:vertAlign w:val="subscript"/>
                <w:lang w:val="sv-SE"/>
              </w:rPr>
              <w:t>interferer</w:t>
            </w:r>
          </w:p>
        </w:tc>
        <w:tc>
          <w:tcPr>
            <w:tcW w:w="720" w:type="dxa"/>
          </w:tcPr>
          <w:p w14:paraId="5E61C48F" w14:textId="77777777" w:rsidR="0022468F" w:rsidRPr="00A1115A" w:rsidRDefault="0022468F" w:rsidP="00F005B7">
            <w:pPr>
              <w:pStyle w:val="TAC"/>
              <w:rPr>
                <w:lang w:val="sv-SE"/>
              </w:rPr>
            </w:pPr>
            <w:r w:rsidRPr="00A1115A">
              <w:rPr>
                <w:lang w:val="sv-SE"/>
              </w:rPr>
              <w:t>MHz</w:t>
            </w:r>
          </w:p>
        </w:tc>
        <w:tc>
          <w:tcPr>
            <w:tcW w:w="1167" w:type="dxa"/>
          </w:tcPr>
          <w:p w14:paraId="67BE7E42" w14:textId="77777777" w:rsidR="0022468F" w:rsidRPr="00A1115A" w:rsidRDefault="0022468F" w:rsidP="00F005B7">
            <w:pPr>
              <w:pStyle w:val="TAC"/>
            </w:pPr>
            <w:r w:rsidRPr="00A1115A">
              <w:t>NOTE 2</w:t>
            </w:r>
          </w:p>
        </w:tc>
        <w:tc>
          <w:tcPr>
            <w:tcW w:w="1489" w:type="dxa"/>
          </w:tcPr>
          <w:p w14:paraId="11FEA1CA" w14:textId="77777777" w:rsidR="0022468F" w:rsidRPr="00A1115A" w:rsidRDefault="0022468F" w:rsidP="00F005B7">
            <w:pPr>
              <w:pStyle w:val="TAC"/>
            </w:pPr>
            <w:r w:rsidRPr="00A1115A">
              <w:t>F</w:t>
            </w:r>
            <w:r w:rsidRPr="00A1115A">
              <w:rPr>
                <w:vertAlign w:val="subscript"/>
              </w:rPr>
              <w:t>DL_low</w:t>
            </w:r>
            <w:r w:rsidRPr="00A1115A">
              <w:t xml:space="preserve"> – 12 to F</w:t>
            </w:r>
            <w:r w:rsidRPr="00A1115A">
              <w:rPr>
                <w:vertAlign w:val="subscript"/>
              </w:rPr>
              <w:t>DL_high</w:t>
            </w:r>
            <w:r w:rsidRPr="00A1115A">
              <w:t xml:space="preserve"> + 15</w:t>
            </w:r>
          </w:p>
        </w:tc>
        <w:tc>
          <w:tcPr>
            <w:tcW w:w="1260" w:type="dxa"/>
          </w:tcPr>
          <w:p w14:paraId="709186DD" w14:textId="77777777" w:rsidR="0022468F" w:rsidRPr="00A2217E" w:rsidRDefault="0022468F" w:rsidP="00F005B7">
            <w:pPr>
              <w:pStyle w:val="TAC"/>
            </w:pPr>
            <w:r w:rsidRPr="00A2217E">
              <w:t>F</w:t>
            </w:r>
            <w:r w:rsidRPr="00A2217E">
              <w:rPr>
                <w:vertAlign w:val="subscript"/>
              </w:rPr>
              <w:t>DL_low</w:t>
            </w:r>
            <w:r w:rsidRPr="00A2217E">
              <w:t xml:space="preserve"> – 12</w:t>
            </w:r>
          </w:p>
        </w:tc>
        <w:tc>
          <w:tcPr>
            <w:tcW w:w="1320" w:type="dxa"/>
          </w:tcPr>
          <w:p w14:paraId="19EFCD3D" w14:textId="77777777" w:rsidR="0022468F" w:rsidRPr="00A1115A" w:rsidRDefault="0022468F" w:rsidP="00F005B7">
            <w:pPr>
              <w:pStyle w:val="TAC"/>
            </w:pPr>
          </w:p>
        </w:tc>
        <w:tc>
          <w:tcPr>
            <w:tcW w:w="1470" w:type="dxa"/>
          </w:tcPr>
          <w:p w14:paraId="1FA167DE" w14:textId="77777777" w:rsidR="0022468F" w:rsidRPr="00A1115A" w:rsidRDefault="0022468F" w:rsidP="00F005B7">
            <w:pPr>
              <w:pStyle w:val="TAC"/>
            </w:pPr>
          </w:p>
        </w:tc>
      </w:tr>
      <w:tr w:rsidR="0022468F" w:rsidRPr="00A1115A" w14:paraId="569A2ECC" w14:textId="77777777" w:rsidTr="00F005B7">
        <w:trPr>
          <w:jc w:val="center"/>
        </w:trPr>
        <w:tc>
          <w:tcPr>
            <w:tcW w:w="977" w:type="dxa"/>
          </w:tcPr>
          <w:p w14:paraId="25E66DF6" w14:textId="77777777" w:rsidR="0022468F" w:rsidRPr="00A1115A" w:rsidRDefault="0022468F" w:rsidP="00F005B7">
            <w:pPr>
              <w:pStyle w:val="TAL"/>
            </w:pPr>
            <w:r>
              <w:t>n105</w:t>
            </w:r>
          </w:p>
        </w:tc>
        <w:tc>
          <w:tcPr>
            <w:tcW w:w="1170" w:type="dxa"/>
            <w:shd w:val="clear" w:color="auto" w:fill="auto"/>
          </w:tcPr>
          <w:p w14:paraId="141545A5" w14:textId="77777777" w:rsidR="0022468F" w:rsidRPr="00A1115A" w:rsidRDefault="0022468F" w:rsidP="00F005B7">
            <w:pPr>
              <w:pStyle w:val="TAL"/>
              <w:rPr>
                <w:lang w:val="sv-SE"/>
              </w:rPr>
            </w:pPr>
            <w:r w:rsidRPr="00A1115A">
              <w:rPr>
                <w:lang w:val="sv-SE"/>
              </w:rPr>
              <w:t>F</w:t>
            </w:r>
            <w:r w:rsidRPr="00A1115A">
              <w:rPr>
                <w:vertAlign w:val="subscript"/>
                <w:lang w:val="sv-SE"/>
              </w:rPr>
              <w:t>interferer</w:t>
            </w:r>
          </w:p>
        </w:tc>
        <w:tc>
          <w:tcPr>
            <w:tcW w:w="720" w:type="dxa"/>
          </w:tcPr>
          <w:p w14:paraId="0F1D852A" w14:textId="77777777" w:rsidR="0022468F" w:rsidRPr="00A1115A" w:rsidRDefault="0022468F" w:rsidP="00F005B7">
            <w:pPr>
              <w:pStyle w:val="TAC"/>
              <w:rPr>
                <w:lang w:val="sv-SE"/>
              </w:rPr>
            </w:pPr>
            <w:r w:rsidRPr="00A1115A">
              <w:rPr>
                <w:lang w:val="sv-SE"/>
              </w:rPr>
              <w:t>MHz</w:t>
            </w:r>
          </w:p>
        </w:tc>
        <w:tc>
          <w:tcPr>
            <w:tcW w:w="1167" w:type="dxa"/>
          </w:tcPr>
          <w:p w14:paraId="7A8A54E6" w14:textId="77777777" w:rsidR="0022468F" w:rsidRPr="00A1115A" w:rsidRDefault="0022468F" w:rsidP="00F005B7">
            <w:pPr>
              <w:pStyle w:val="TAC"/>
            </w:pPr>
            <w:r w:rsidRPr="00A1115A">
              <w:t xml:space="preserve">NOTE </w:t>
            </w:r>
            <w:r>
              <w:t xml:space="preserve">2, </w:t>
            </w:r>
            <w:r w:rsidRPr="00A2217E">
              <w:rPr>
                <w:highlight w:val="yellow"/>
              </w:rPr>
              <w:t>4</w:t>
            </w:r>
          </w:p>
        </w:tc>
        <w:tc>
          <w:tcPr>
            <w:tcW w:w="1489" w:type="dxa"/>
          </w:tcPr>
          <w:p w14:paraId="27E8080C" w14:textId="77777777" w:rsidR="0022468F" w:rsidRPr="00A1115A" w:rsidRDefault="0022468F" w:rsidP="00F005B7">
            <w:pPr>
              <w:pStyle w:val="TAC"/>
            </w:pPr>
            <w:r w:rsidRPr="00A1115A">
              <w:t>F</w:t>
            </w:r>
            <w:r w:rsidRPr="00A1115A">
              <w:rPr>
                <w:vertAlign w:val="subscript"/>
              </w:rPr>
              <w:t>DL_low</w:t>
            </w:r>
            <w:r w:rsidRPr="00A1115A">
              <w:t xml:space="preserve"> – 12 to F</w:t>
            </w:r>
            <w:r w:rsidRPr="00A1115A">
              <w:rPr>
                <w:vertAlign w:val="subscript"/>
              </w:rPr>
              <w:t>DL_high</w:t>
            </w:r>
            <w:r w:rsidRPr="00A1115A">
              <w:t xml:space="preserve"> + 15</w:t>
            </w:r>
          </w:p>
        </w:tc>
        <w:tc>
          <w:tcPr>
            <w:tcW w:w="1260" w:type="dxa"/>
          </w:tcPr>
          <w:p w14:paraId="0B897E04" w14:textId="77777777" w:rsidR="0022468F" w:rsidRPr="00B2761C" w:rsidRDefault="0022468F" w:rsidP="00F005B7">
            <w:pPr>
              <w:pStyle w:val="TAC"/>
              <w:rPr>
                <w:highlight w:val="yellow"/>
              </w:rPr>
            </w:pPr>
          </w:p>
        </w:tc>
        <w:tc>
          <w:tcPr>
            <w:tcW w:w="1320" w:type="dxa"/>
          </w:tcPr>
          <w:p w14:paraId="34B42822" w14:textId="77777777" w:rsidR="0022468F" w:rsidRPr="00A1115A" w:rsidRDefault="0022468F" w:rsidP="00F005B7">
            <w:pPr>
              <w:pStyle w:val="TAC"/>
            </w:pPr>
          </w:p>
        </w:tc>
        <w:tc>
          <w:tcPr>
            <w:tcW w:w="1470" w:type="dxa"/>
          </w:tcPr>
          <w:p w14:paraId="7E748188" w14:textId="77777777" w:rsidR="0022468F" w:rsidRPr="00A1115A" w:rsidRDefault="0022468F" w:rsidP="00F005B7">
            <w:pPr>
              <w:pStyle w:val="TAC"/>
            </w:pPr>
            <w:r w:rsidRPr="00B2761C">
              <w:rPr>
                <w:highlight w:val="yellow"/>
              </w:rPr>
              <w:t>F</w:t>
            </w:r>
            <w:r w:rsidRPr="00B2761C">
              <w:rPr>
                <w:highlight w:val="yellow"/>
                <w:vertAlign w:val="subscript"/>
              </w:rPr>
              <w:t>DL_low</w:t>
            </w:r>
            <w:r w:rsidRPr="00B2761C">
              <w:rPr>
                <w:highlight w:val="yellow"/>
              </w:rPr>
              <w:t xml:space="preserve"> – 12</w:t>
            </w:r>
          </w:p>
        </w:tc>
      </w:tr>
      <w:tr w:rsidR="0022468F" w:rsidRPr="00A1115A" w14:paraId="2A6E29F3" w14:textId="77777777" w:rsidTr="00F005B7">
        <w:trPr>
          <w:jc w:val="center"/>
        </w:trPr>
        <w:tc>
          <w:tcPr>
            <w:tcW w:w="9573" w:type="dxa"/>
            <w:gridSpan w:val="8"/>
          </w:tcPr>
          <w:p w14:paraId="740233A1" w14:textId="77777777" w:rsidR="0022468F" w:rsidRPr="00A1115A" w:rsidRDefault="0022468F" w:rsidP="00F005B7">
            <w:pPr>
              <w:pStyle w:val="TAN"/>
            </w:pPr>
            <w:r w:rsidRPr="00A1115A">
              <w:t>NOTE 1:</w:t>
            </w:r>
            <w:r w:rsidRPr="00A1115A">
              <w:tab/>
              <w:t xml:space="preserve">The absolute value of the interferer offset Finterferer (offset) shall be further adjusted to </w:t>
            </w:r>
            <w:r w:rsidRPr="00A1115A">
              <w:rPr>
                <w:rFonts w:eastAsia="Osaka"/>
              </w:rPr>
              <w:object w:dxaOrig="2659" w:dyaOrig="400" w14:anchorId="6891913D">
                <v:shape id="_x0000_i1026" type="#_x0000_t75" style="width:114pt;height:11.25pt" o:ole="">
                  <v:imagedata r:id="rId9" o:title=""/>
                </v:shape>
                <o:OLEObject Type="Embed" ProgID="Equation.3" ShapeID="_x0000_i1026" DrawAspect="Content" ObjectID="_1726052533" r:id="rId11"/>
              </w:object>
            </w:r>
            <w:r w:rsidRPr="00A1115A">
              <w:t>MHz with SCS the sub-carrier spacing of the wanted signal in MHz. The interferer is an NR signal with 15 kHz SCS.</w:t>
            </w:r>
          </w:p>
          <w:p w14:paraId="13839A6E" w14:textId="77777777" w:rsidR="0022468F" w:rsidRDefault="0022468F" w:rsidP="00F005B7">
            <w:pPr>
              <w:pStyle w:val="TAN"/>
              <w:rPr>
                <w:vertAlign w:val="subscript"/>
              </w:rPr>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14:paraId="3AC83A04" w14:textId="77777777" w:rsidR="0022468F" w:rsidRDefault="0022468F" w:rsidP="00F005B7">
            <w:pPr>
              <w:pStyle w:val="TAN"/>
            </w:pPr>
            <w:r w:rsidRPr="00A1115A">
              <w:t>NOTE 3:</w:t>
            </w:r>
            <w:r w:rsidRPr="00A1115A">
              <w:tab/>
              <w:t>n48 follows the requirement in this frequency range according to the general requirement defined in Clause 7.1.</w:t>
            </w:r>
          </w:p>
          <w:p w14:paraId="2E666CF1" w14:textId="77777777" w:rsidR="0022468F" w:rsidRPr="00A1115A" w:rsidRDefault="0022468F" w:rsidP="00F005B7">
            <w:pPr>
              <w:pStyle w:val="TAN"/>
              <w:rPr>
                <w:vertAlign w:val="subscript"/>
              </w:rPr>
            </w:pPr>
            <w:r w:rsidRPr="00A2217E">
              <w:t>NOTE 4: For n105 channels</w:t>
            </w:r>
            <w:r w:rsidRPr="00A2217E">
              <w:rPr>
                <w:highlight w:val="yellow"/>
              </w:rPr>
              <w:t xml:space="preserve"> overlapping with 612-617MHz frequency range, the Case1 power is raised to [-34] dBm</w:t>
            </w:r>
          </w:p>
        </w:tc>
      </w:tr>
    </w:tbl>
    <w:p w14:paraId="03D6921F" w14:textId="77777777" w:rsidR="00F10F97" w:rsidRDefault="007321E3" w:rsidP="00C8525F">
      <w:pPr>
        <w:pStyle w:val="Heading1"/>
        <w:numPr>
          <w:ilvl w:val="0"/>
          <w:numId w:val="0"/>
        </w:numPr>
        <w:jc w:val="both"/>
      </w:pPr>
      <w:r>
        <w:t>R</w:t>
      </w:r>
      <w:r w:rsidR="00F10F97">
        <w:t>eferences</w:t>
      </w:r>
    </w:p>
    <w:p w14:paraId="47EF2A3B" w14:textId="3A2A1D45" w:rsidR="00BD6FC3" w:rsidRDefault="00D52EA9" w:rsidP="00FB5B38">
      <w:pPr>
        <w:pStyle w:val="ListParagraph"/>
        <w:widowControl w:val="0"/>
        <w:numPr>
          <w:ilvl w:val="0"/>
          <w:numId w:val="11"/>
        </w:numPr>
        <w:snapToGrid w:val="0"/>
      </w:pPr>
      <w:r w:rsidRPr="00D52EA9">
        <w:t>R4-2214435 WF on UE requirements for APT 600 MHz</w:t>
      </w:r>
      <w:r w:rsidR="00FB5B38">
        <w:t xml:space="preserve">, </w:t>
      </w:r>
      <w:r w:rsidRPr="00FB5B38">
        <w:t>Skyworks Solutions Inc.</w:t>
      </w:r>
      <w:r w:rsidR="00FB5B38">
        <w:t>, RAN4#104e</w:t>
      </w:r>
    </w:p>
    <w:p w14:paraId="678D9693" w14:textId="65C5EA21" w:rsidR="00D52EA9" w:rsidRDefault="00D52EA9" w:rsidP="00D52EA9">
      <w:pPr>
        <w:pStyle w:val="ListParagraph"/>
        <w:numPr>
          <w:ilvl w:val="0"/>
          <w:numId w:val="11"/>
        </w:numPr>
      </w:pPr>
      <w:r>
        <w:t>R4-2212069 UE RF requirement for APT600,</w:t>
      </w:r>
      <w:r w:rsidRPr="006C48C8">
        <w:t xml:space="preserve"> </w:t>
      </w:r>
      <w:r>
        <w:t>Nokia, Nokia Shanghai Bell, RAN4#104e</w:t>
      </w:r>
    </w:p>
    <w:p w14:paraId="3DD67C50" w14:textId="74B3D072" w:rsidR="00D52EA9" w:rsidRDefault="00D52EA9" w:rsidP="00D52EA9">
      <w:pPr>
        <w:pStyle w:val="ListParagraph"/>
        <w:numPr>
          <w:ilvl w:val="0"/>
          <w:numId w:val="11"/>
        </w:numPr>
      </w:pPr>
      <w:r>
        <w:t>R4-2212612</w:t>
      </w:r>
      <w:r w:rsidRPr="006C48C8">
        <w:t xml:space="preserve"> </w:t>
      </w:r>
      <w:r>
        <w:t>Discussion on UE RF requirements for APT 600MHz,</w:t>
      </w:r>
      <w:r w:rsidRPr="006C48C8">
        <w:t xml:space="preserve"> </w:t>
      </w:r>
      <w:r>
        <w:t>Xiaomi, RAN4#104e</w:t>
      </w:r>
    </w:p>
    <w:p w14:paraId="686BED04" w14:textId="7EC32692" w:rsidR="00D52EA9" w:rsidRDefault="00D52EA9" w:rsidP="00D52EA9">
      <w:pPr>
        <w:pStyle w:val="ListParagraph"/>
        <w:numPr>
          <w:ilvl w:val="0"/>
          <w:numId w:val="11"/>
        </w:numPr>
      </w:pPr>
      <w:r>
        <w:t>R4-2212714</w:t>
      </w:r>
      <w:r w:rsidRPr="006C48C8">
        <w:t xml:space="preserve"> </w:t>
      </w:r>
      <w:r>
        <w:t>Discussion on APT 600MHz UE RF requirement, ZTE Corporation, RAN4#104e</w:t>
      </w:r>
    </w:p>
    <w:p w14:paraId="0F709822" w14:textId="1FABB7B6" w:rsidR="00D52EA9" w:rsidRDefault="00D52EA9" w:rsidP="00D52EA9">
      <w:pPr>
        <w:pStyle w:val="ListParagraph"/>
        <w:numPr>
          <w:ilvl w:val="0"/>
          <w:numId w:val="11"/>
        </w:numPr>
      </w:pPr>
      <w:r>
        <w:t>R4-2214000</w:t>
      </w:r>
      <w:r w:rsidRPr="006C48C8">
        <w:t xml:space="preserve"> </w:t>
      </w:r>
      <w:r>
        <w:t>UE RF requirements for the APT 600 MHz band,</w:t>
      </w:r>
      <w:r w:rsidRPr="006C48C8">
        <w:t xml:space="preserve"> </w:t>
      </w:r>
      <w:r>
        <w:t>Qualcomm Incorporated, RAN4#104e</w:t>
      </w:r>
    </w:p>
    <w:p w14:paraId="73CBABE0" w14:textId="7941DF22" w:rsidR="00D52EA9" w:rsidRDefault="00D52EA9" w:rsidP="00D52EA9">
      <w:pPr>
        <w:pStyle w:val="ListParagraph"/>
        <w:numPr>
          <w:ilvl w:val="0"/>
          <w:numId w:val="11"/>
        </w:numPr>
      </w:pPr>
      <w:r w:rsidRPr="00C170AF">
        <w:t>R4-2212097</w:t>
      </w:r>
      <w:r>
        <w:t xml:space="preserve"> </w:t>
      </w:r>
      <w:r w:rsidRPr="00C170AF">
        <w:t>APT600 band CH36 rejection and REFSENS impact</w:t>
      </w:r>
      <w:r>
        <w:t>,</w:t>
      </w:r>
      <w:r w:rsidRPr="00C170AF">
        <w:t xml:space="preserve"> Skyworks Solutions Inc</w:t>
      </w:r>
      <w:r>
        <w:t>., RAN4#104e</w:t>
      </w:r>
    </w:p>
    <w:sectPr w:rsidR="00D52EA9" w:rsidSect="0072107A">
      <w:footerReference w:type="default" r:id="rId12"/>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78A5E5" w14:textId="77777777" w:rsidR="0083541E" w:rsidRDefault="0083541E">
      <w:r>
        <w:separator/>
      </w:r>
    </w:p>
  </w:endnote>
  <w:endnote w:type="continuationSeparator" w:id="0">
    <w:p w14:paraId="0D90B967" w14:textId="77777777" w:rsidR="0083541E" w:rsidRDefault="00835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293BD2" w:rsidRDefault="00293BD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0C3CE9" w14:textId="77777777" w:rsidR="0083541E" w:rsidRDefault="0083541E">
      <w:r>
        <w:separator/>
      </w:r>
    </w:p>
  </w:footnote>
  <w:footnote w:type="continuationSeparator" w:id="0">
    <w:p w14:paraId="3922A61C" w14:textId="77777777" w:rsidR="0083541E" w:rsidRDefault="008354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57AE6"/>
    <w:multiLevelType w:val="hybridMultilevel"/>
    <w:tmpl w:val="4CDCF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135B5"/>
    <w:multiLevelType w:val="hybridMultilevel"/>
    <w:tmpl w:val="4008D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D3AF3"/>
    <w:multiLevelType w:val="hybridMultilevel"/>
    <w:tmpl w:val="902A0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040C96"/>
    <w:multiLevelType w:val="hybridMultilevel"/>
    <w:tmpl w:val="064293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BF1351C"/>
    <w:multiLevelType w:val="hybridMultilevel"/>
    <w:tmpl w:val="7F10F2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1A90E06"/>
    <w:multiLevelType w:val="hybridMultilevel"/>
    <w:tmpl w:val="5D446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8586411"/>
    <w:multiLevelType w:val="hybridMultilevel"/>
    <w:tmpl w:val="5546F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BD3A05"/>
    <w:multiLevelType w:val="hybridMultilevel"/>
    <w:tmpl w:val="0F06D0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CBC72D5"/>
    <w:multiLevelType w:val="hybridMultilevel"/>
    <w:tmpl w:val="6284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4" w15:restartNumberingAfterBreak="0">
    <w:nsid w:val="3298411B"/>
    <w:multiLevelType w:val="hybridMultilevel"/>
    <w:tmpl w:val="F60CCF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AB078E"/>
    <w:multiLevelType w:val="hybridMultilevel"/>
    <w:tmpl w:val="0AFC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6B4E7C"/>
    <w:multiLevelType w:val="hybridMultilevel"/>
    <w:tmpl w:val="13F288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AFE2AEF"/>
    <w:multiLevelType w:val="hybridMultilevel"/>
    <w:tmpl w:val="93A46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3672B9"/>
    <w:multiLevelType w:val="hybridMultilevel"/>
    <w:tmpl w:val="C046C0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D991170"/>
    <w:multiLevelType w:val="hybridMultilevel"/>
    <w:tmpl w:val="42D07E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D9C6E75"/>
    <w:multiLevelType w:val="hybridMultilevel"/>
    <w:tmpl w:val="BE86B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455DC5"/>
    <w:multiLevelType w:val="hybridMultilevel"/>
    <w:tmpl w:val="1A626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9D6E98"/>
    <w:multiLevelType w:val="hybridMultilevel"/>
    <w:tmpl w:val="F2F4FF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A185947"/>
    <w:multiLevelType w:val="hybridMultilevel"/>
    <w:tmpl w:val="782EE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4A0A26"/>
    <w:multiLevelType w:val="hybridMultilevel"/>
    <w:tmpl w:val="0EA06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B83C5F"/>
    <w:multiLevelType w:val="hybridMultilevel"/>
    <w:tmpl w:val="9690AD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A10046"/>
    <w:multiLevelType w:val="hybridMultilevel"/>
    <w:tmpl w:val="31E4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99E64BE"/>
    <w:multiLevelType w:val="hybridMultilevel"/>
    <w:tmpl w:val="52C0E3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9CF4673"/>
    <w:multiLevelType w:val="hybridMultilevel"/>
    <w:tmpl w:val="CA2C900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5" w15:restartNumberingAfterBreak="0">
    <w:nsid w:val="79FE5AA2"/>
    <w:multiLevelType w:val="hybridMultilevel"/>
    <w:tmpl w:val="89E0C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EA7EC9"/>
    <w:multiLevelType w:val="hybridMultilevel"/>
    <w:tmpl w:val="74CA0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19"/>
  </w:num>
  <w:num w:numId="4">
    <w:abstractNumId w:val="36"/>
  </w:num>
  <w:num w:numId="5">
    <w:abstractNumId w:val="13"/>
  </w:num>
  <w:num w:numId="6">
    <w:abstractNumId w:val="5"/>
  </w:num>
  <w:num w:numId="7">
    <w:abstractNumId w:val="20"/>
  </w:num>
  <w:num w:numId="8">
    <w:abstractNumId w:val="30"/>
  </w:num>
  <w:num w:numId="9">
    <w:abstractNumId w:val="32"/>
  </w:num>
  <w:num w:numId="10">
    <w:abstractNumId w:val="4"/>
  </w:num>
  <w:num w:numId="11">
    <w:abstractNumId w:val="9"/>
  </w:num>
  <w:num w:numId="12">
    <w:abstractNumId w:val="2"/>
  </w:num>
  <w:num w:numId="13">
    <w:abstractNumId w:val="28"/>
  </w:num>
  <w:num w:numId="14">
    <w:abstractNumId w:val="12"/>
  </w:num>
  <w:num w:numId="15">
    <w:abstractNumId w:val="34"/>
  </w:num>
  <w:num w:numId="16">
    <w:abstractNumId w:val="27"/>
  </w:num>
  <w:num w:numId="17">
    <w:abstractNumId w:val="24"/>
  </w:num>
  <w:num w:numId="18">
    <w:abstractNumId w:val="35"/>
  </w:num>
  <w:num w:numId="19">
    <w:abstractNumId w:val="25"/>
  </w:num>
  <w:num w:numId="20">
    <w:abstractNumId w:val="31"/>
  </w:num>
  <w:num w:numId="21">
    <w:abstractNumId w:val="16"/>
  </w:num>
  <w:num w:numId="22">
    <w:abstractNumId w:val="37"/>
  </w:num>
  <w:num w:numId="23">
    <w:abstractNumId w:val="10"/>
  </w:num>
  <w:num w:numId="24">
    <w:abstractNumId w:val="21"/>
  </w:num>
  <w:num w:numId="25">
    <w:abstractNumId w:val="0"/>
  </w:num>
  <w:num w:numId="26">
    <w:abstractNumId w:val="3"/>
  </w:num>
  <w:num w:numId="27">
    <w:abstractNumId w:val="7"/>
  </w:num>
  <w:num w:numId="28">
    <w:abstractNumId w:val="23"/>
  </w:num>
  <w:num w:numId="29">
    <w:abstractNumId w:val="8"/>
  </w:num>
  <w:num w:numId="30">
    <w:abstractNumId w:val="20"/>
  </w:num>
  <w:num w:numId="31">
    <w:abstractNumId w:val="20"/>
  </w:num>
  <w:num w:numId="32">
    <w:abstractNumId w:val="26"/>
  </w:num>
  <w:num w:numId="33">
    <w:abstractNumId w:val="11"/>
  </w:num>
  <w:num w:numId="34">
    <w:abstractNumId w:val="17"/>
  </w:num>
  <w:num w:numId="35">
    <w:abstractNumId w:val="18"/>
  </w:num>
  <w:num w:numId="36">
    <w:abstractNumId w:val="22"/>
  </w:num>
  <w:num w:numId="37">
    <w:abstractNumId w:val="1"/>
  </w:num>
  <w:num w:numId="38">
    <w:abstractNumId w:val="33"/>
  </w:num>
  <w:num w:numId="39">
    <w:abstractNumId w:val="14"/>
  </w:num>
  <w:num w:numId="40">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EDF"/>
    <w:rsid w:val="00026F5D"/>
    <w:rsid w:val="0002723D"/>
    <w:rsid w:val="00027460"/>
    <w:rsid w:val="00027D1B"/>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CB7"/>
    <w:rsid w:val="00140F21"/>
    <w:rsid w:val="001415BD"/>
    <w:rsid w:val="001416E0"/>
    <w:rsid w:val="00141A03"/>
    <w:rsid w:val="00141A40"/>
    <w:rsid w:val="001420CF"/>
    <w:rsid w:val="00142A41"/>
    <w:rsid w:val="00142B4D"/>
    <w:rsid w:val="00143488"/>
    <w:rsid w:val="00143759"/>
    <w:rsid w:val="00143C8B"/>
    <w:rsid w:val="00143F56"/>
    <w:rsid w:val="00144083"/>
    <w:rsid w:val="0014434E"/>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8F"/>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BD2"/>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014"/>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3BF"/>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6B7"/>
    <w:rsid w:val="00376966"/>
    <w:rsid w:val="00376ED2"/>
    <w:rsid w:val="003778C9"/>
    <w:rsid w:val="00377AD1"/>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E9"/>
    <w:rsid w:val="00385DFF"/>
    <w:rsid w:val="00386013"/>
    <w:rsid w:val="00386189"/>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0AB"/>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BC2"/>
    <w:rsid w:val="00396F19"/>
    <w:rsid w:val="00397B4D"/>
    <w:rsid w:val="00397D43"/>
    <w:rsid w:val="00397DEF"/>
    <w:rsid w:val="003A05FC"/>
    <w:rsid w:val="003A08A7"/>
    <w:rsid w:val="003A1A83"/>
    <w:rsid w:val="003A1B19"/>
    <w:rsid w:val="003A1B2D"/>
    <w:rsid w:val="003A1F63"/>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4CB"/>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2F7C"/>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42FC"/>
    <w:rsid w:val="004943F0"/>
    <w:rsid w:val="00494D5C"/>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5F"/>
    <w:rsid w:val="004B65E7"/>
    <w:rsid w:val="004B68BB"/>
    <w:rsid w:val="004B690C"/>
    <w:rsid w:val="004B723F"/>
    <w:rsid w:val="004B73EB"/>
    <w:rsid w:val="004B76F6"/>
    <w:rsid w:val="004B77E8"/>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0715"/>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53F"/>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325"/>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1FD0"/>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212"/>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C68"/>
    <w:rsid w:val="00801D03"/>
    <w:rsid w:val="008021B6"/>
    <w:rsid w:val="008024A8"/>
    <w:rsid w:val="00802687"/>
    <w:rsid w:val="008029DD"/>
    <w:rsid w:val="00802BDD"/>
    <w:rsid w:val="00802C2D"/>
    <w:rsid w:val="00802FB9"/>
    <w:rsid w:val="008030A2"/>
    <w:rsid w:val="0080383E"/>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41E"/>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5F80"/>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1013"/>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04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3D79"/>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7F9"/>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17E"/>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304C"/>
    <w:rsid w:val="00A9447D"/>
    <w:rsid w:val="00A94B97"/>
    <w:rsid w:val="00A952DD"/>
    <w:rsid w:val="00A954A6"/>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529"/>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6D3B"/>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330"/>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E19"/>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6CF1"/>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78D"/>
    <w:rsid w:val="00BF4A2C"/>
    <w:rsid w:val="00BF4E9A"/>
    <w:rsid w:val="00BF4ECA"/>
    <w:rsid w:val="00BF60DC"/>
    <w:rsid w:val="00BF681C"/>
    <w:rsid w:val="00BF68BE"/>
    <w:rsid w:val="00BF6958"/>
    <w:rsid w:val="00BF6B8A"/>
    <w:rsid w:val="00BF6CD3"/>
    <w:rsid w:val="00BF71B6"/>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914"/>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4D2"/>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26E"/>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0DB"/>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6BA"/>
    <w:rsid w:val="00D50890"/>
    <w:rsid w:val="00D508EA"/>
    <w:rsid w:val="00D50995"/>
    <w:rsid w:val="00D50DF6"/>
    <w:rsid w:val="00D51743"/>
    <w:rsid w:val="00D51A7D"/>
    <w:rsid w:val="00D51DBD"/>
    <w:rsid w:val="00D52300"/>
    <w:rsid w:val="00D52885"/>
    <w:rsid w:val="00D52EA9"/>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A1F"/>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628"/>
    <w:rsid w:val="00E92EEC"/>
    <w:rsid w:val="00E9301B"/>
    <w:rsid w:val="00E93567"/>
    <w:rsid w:val="00E939B5"/>
    <w:rsid w:val="00E94169"/>
    <w:rsid w:val="00E94406"/>
    <w:rsid w:val="00E944A3"/>
    <w:rsid w:val="00E94628"/>
    <w:rsid w:val="00E94DB7"/>
    <w:rsid w:val="00E94DF8"/>
    <w:rsid w:val="00E95127"/>
    <w:rsid w:val="00E95287"/>
    <w:rsid w:val="00E9530B"/>
    <w:rsid w:val="00E958AA"/>
    <w:rsid w:val="00E96074"/>
    <w:rsid w:val="00E969EC"/>
    <w:rsid w:val="00E96ED7"/>
    <w:rsid w:val="00E97099"/>
    <w:rsid w:val="00E971C8"/>
    <w:rsid w:val="00E9744E"/>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41F"/>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1C6A"/>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5432"/>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349A"/>
    <w:rsid w:val="00FB3A2B"/>
    <w:rsid w:val="00FB3BC4"/>
    <w:rsid w:val="00FB3F04"/>
    <w:rsid w:val="00FB412A"/>
    <w:rsid w:val="00FB4360"/>
    <w:rsid w:val="00FB4396"/>
    <w:rsid w:val="00FB50C8"/>
    <w:rsid w:val="00FB52C7"/>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55215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28490019">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197223">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2925707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26</TotalTime>
  <Pages>6</Pages>
  <Words>2881</Words>
  <Characters>16424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19267</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4</cp:revision>
  <cp:lastPrinted>2010-01-07T15:23:00Z</cp:lastPrinted>
  <dcterms:created xsi:type="dcterms:W3CDTF">2022-09-29T20:15:00Z</dcterms:created>
  <dcterms:modified xsi:type="dcterms:W3CDTF">2022-09-30T12:13:00Z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